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21462" w14:textId="77777777" w:rsidR="00A87524" w:rsidRPr="0008451F" w:rsidRDefault="00DD34B3">
      <w:pPr>
        <w:rPr>
          <w:rFonts w:ascii="Times New Roman" w:hAnsi="Times New Roman" w:cs="Times New Roman"/>
          <w:sz w:val="24"/>
          <w:szCs w:val="24"/>
        </w:rPr>
      </w:pPr>
      <w:r w:rsidRPr="0008451F">
        <w:rPr>
          <w:rFonts w:ascii="Times New Roman" w:hAnsi="Times New Roman" w:cs="Times New Roman"/>
          <w:sz w:val="24"/>
          <w:szCs w:val="24"/>
        </w:rPr>
        <w:t>Performance Measures for Free and Charitable Clinics</w:t>
      </w:r>
    </w:p>
    <w:p w14:paraId="0484B910" w14:textId="77777777" w:rsidR="00DD34B3" w:rsidRPr="0008451F" w:rsidRDefault="00DD34B3">
      <w:pPr>
        <w:rPr>
          <w:rFonts w:ascii="Times New Roman" w:hAnsi="Times New Roman" w:cs="Times New Roman"/>
          <w:sz w:val="24"/>
          <w:szCs w:val="24"/>
        </w:rPr>
      </w:pPr>
      <w:r w:rsidRPr="0008451F">
        <w:rPr>
          <w:rFonts w:ascii="Times New Roman" w:hAnsi="Times New Roman" w:cs="Times New Roman"/>
          <w:sz w:val="24"/>
          <w:szCs w:val="24"/>
        </w:rPr>
        <w:t>2016</w:t>
      </w:r>
    </w:p>
    <w:p w14:paraId="72BC5CE6" w14:textId="77777777" w:rsidR="002631FF" w:rsidRPr="0008451F" w:rsidRDefault="00DD34B3" w:rsidP="002631FF">
      <w:pPr>
        <w:jc w:val="left"/>
        <w:rPr>
          <w:rFonts w:ascii="Times New Roman" w:hAnsi="Times New Roman" w:cs="Times New Roman"/>
          <w:sz w:val="24"/>
          <w:szCs w:val="24"/>
        </w:rPr>
      </w:pPr>
      <w:r w:rsidRPr="0008451F">
        <w:rPr>
          <w:rFonts w:ascii="Times New Roman" w:hAnsi="Times New Roman" w:cs="Times New Roman"/>
          <w:sz w:val="24"/>
          <w:szCs w:val="24"/>
        </w:rPr>
        <w:t>Free and charitable clinics operating across Pennsylvania are encouraged to collect and analyze patient data to mark their prog</w:t>
      </w:r>
      <w:r w:rsidR="007D32F1" w:rsidRPr="0008451F">
        <w:rPr>
          <w:rFonts w:ascii="Times New Roman" w:hAnsi="Times New Roman" w:cs="Times New Roman"/>
          <w:sz w:val="24"/>
          <w:szCs w:val="24"/>
        </w:rPr>
        <w:t xml:space="preserve">ress in achieving </w:t>
      </w:r>
      <w:r w:rsidRPr="0008451F">
        <w:rPr>
          <w:rFonts w:ascii="Times New Roman" w:hAnsi="Times New Roman" w:cs="Times New Roman"/>
          <w:sz w:val="24"/>
          <w:szCs w:val="24"/>
        </w:rPr>
        <w:t xml:space="preserve">measures as established </w:t>
      </w:r>
      <w:r w:rsidR="00201D7E" w:rsidRPr="0008451F">
        <w:rPr>
          <w:rFonts w:ascii="Times New Roman" w:hAnsi="Times New Roman" w:cs="Times New Roman"/>
          <w:sz w:val="24"/>
          <w:szCs w:val="24"/>
        </w:rPr>
        <w:t>by the National Committee on Q</w:t>
      </w:r>
      <w:r w:rsidR="00F52818" w:rsidRPr="0008451F">
        <w:rPr>
          <w:rFonts w:ascii="Times New Roman" w:hAnsi="Times New Roman" w:cs="Times New Roman"/>
          <w:sz w:val="24"/>
          <w:szCs w:val="24"/>
        </w:rPr>
        <w:t>uality Assurance (NCQA) in the</w:t>
      </w:r>
      <w:r w:rsidR="00201D7E" w:rsidRPr="0008451F">
        <w:rPr>
          <w:rFonts w:ascii="Times New Roman" w:hAnsi="Times New Roman" w:cs="Times New Roman"/>
          <w:sz w:val="24"/>
          <w:szCs w:val="24"/>
        </w:rPr>
        <w:t xml:space="preserve"> Healthcare Effec</w:t>
      </w:r>
      <w:r w:rsidR="00F52818" w:rsidRPr="0008451F">
        <w:rPr>
          <w:rFonts w:ascii="Times New Roman" w:hAnsi="Times New Roman" w:cs="Times New Roman"/>
          <w:sz w:val="24"/>
          <w:szCs w:val="24"/>
        </w:rPr>
        <w:t>t</w:t>
      </w:r>
      <w:r w:rsidR="00201D7E" w:rsidRPr="0008451F">
        <w:rPr>
          <w:rFonts w:ascii="Times New Roman" w:hAnsi="Times New Roman" w:cs="Times New Roman"/>
          <w:sz w:val="24"/>
          <w:szCs w:val="24"/>
        </w:rPr>
        <w:t>iveness Data and Information Set (</w:t>
      </w:r>
      <w:r w:rsidRPr="0008451F">
        <w:rPr>
          <w:rFonts w:ascii="Times New Roman" w:hAnsi="Times New Roman" w:cs="Times New Roman"/>
          <w:sz w:val="24"/>
          <w:szCs w:val="24"/>
        </w:rPr>
        <w:t>HEDIS</w:t>
      </w:r>
      <w:r w:rsidR="00F52818" w:rsidRPr="0008451F">
        <w:rPr>
          <w:rFonts w:ascii="Times New Roman" w:hAnsi="Times New Roman" w:cs="Times New Roman"/>
          <w:sz w:val="24"/>
          <w:szCs w:val="24"/>
        </w:rPr>
        <w:t>)</w:t>
      </w:r>
      <w:r w:rsidR="00895416" w:rsidRPr="0008451F">
        <w:rPr>
          <w:rFonts w:ascii="Times New Roman" w:hAnsi="Times New Roman" w:cs="Times New Roman"/>
          <w:sz w:val="24"/>
          <w:szCs w:val="24"/>
        </w:rPr>
        <w:t xml:space="preserve"> and Patient Centered Medical Home (PCMH) criteria</w:t>
      </w:r>
      <w:r w:rsidR="00493C96" w:rsidRPr="0008451F">
        <w:rPr>
          <w:rFonts w:ascii="Times New Roman" w:hAnsi="Times New Roman" w:cs="Times New Roman"/>
          <w:sz w:val="24"/>
          <w:szCs w:val="24"/>
        </w:rPr>
        <w:t xml:space="preserve"> or</w:t>
      </w:r>
      <w:r w:rsidR="00201D7E" w:rsidRPr="0008451F">
        <w:rPr>
          <w:rFonts w:ascii="Times New Roman" w:hAnsi="Times New Roman" w:cs="Times New Roman"/>
          <w:sz w:val="24"/>
          <w:szCs w:val="24"/>
        </w:rPr>
        <w:t xml:space="preserve"> the Advisory Committee on Immunization Practices (ACIP)</w:t>
      </w:r>
      <w:r w:rsidRPr="0008451F">
        <w:rPr>
          <w:rFonts w:ascii="Times New Roman" w:hAnsi="Times New Roman" w:cs="Times New Roman"/>
          <w:sz w:val="24"/>
          <w:szCs w:val="24"/>
        </w:rPr>
        <w:t>.</w:t>
      </w:r>
      <w:r w:rsidR="007D32F1" w:rsidRPr="0008451F">
        <w:rPr>
          <w:rFonts w:ascii="Times New Roman" w:hAnsi="Times New Roman" w:cs="Times New Roman"/>
          <w:sz w:val="24"/>
          <w:szCs w:val="24"/>
        </w:rPr>
        <w:t xml:space="preserve"> The following measures have been developed utilizing the aforementioned group’s measures, but have been altered slightly to apply to the free and charitable clinic model and to the patient populations served by those models.</w:t>
      </w:r>
    </w:p>
    <w:p w14:paraId="3F44C556" w14:textId="77777777" w:rsidR="002631FF" w:rsidRPr="0008451F" w:rsidRDefault="002631FF" w:rsidP="002631FF">
      <w:pPr>
        <w:jc w:val="left"/>
        <w:rPr>
          <w:rFonts w:ascii="Times New Roman" w:hAnsi="Times New Roman" w:cs="Times New Roman"/>
          <w:sz w:val="24"/>
          <w:szCs w:val="24"/>
        </w:rPr>
      </w:pPr>
      <w:r w:rsidRPr="0008451F">
        <w:rPr>
          <w:rFonts w:ascii="Times New Roman" w:hAnsi="Times New Roman" w:cs="Times New Roman"/>
          <w:sz w:val="24"/>
          <w:szCs w:val="24"/>
        </w:rPr>
        <w:t xml:space="preserve">The </w:t>
      </w:r>
      <w:r w:rsidR="00EF0A8D" w:rsidRPr="0008451F">
        <w:rPr>
          <w:rFonts w:ascii="Times New Roman" w:hAnsi="Times New Roman" w:cs="Times New Roman"/>
          <w:sz w:val="24"/>
          <w:szCs w:val="24"/>
        </w:rPr>
        <w:t>purpose of these measures is</w:t>
      </w:r>
      <w:r w:rsidRPr="0008451F">
        <w:rPr>
          <w:rFonts w:ascii="Times New Roman" w:hAnsi="Times New Roman" w:cs="Times New Roman"/>
          <w:sz w:val="24"/>
          <w:szCs w:val="24"/>
        </w:rPr>
        <w:t xml:space="preserve"> for clinics to measure their own performance – looking year to year to see what </w:t>
      </w:r>
      <w:r w:rsidRPr="0008451F">
        <w:rPr>
          <w:rFonts w:ascii="Times New Roman" w:hAnsi="Times New Roman" w:cs="Times New Roman"/>
          <w:sz w:val="24"/>
          <w:szCs w:val="24"/>
          <w:u w:val="single"/>
        </w:rPr>
        <w:t>your</w:t>
      </w:r>
      <w:r w:rsidRPr="0008451F">
        <w:rPr>
          <w:rFonts w:ascii="Times New Roman" w:hAnsi="Times New Roman" w:cs="Times New Roman"/>
          <w:sz w:val="24"/>
          <w:szCs w:val="24"/>
        </w:rPr>
        <w:t xml:space="preserve"> results are for </w:t>
      </w:r>
      <w:r w:rsidRPr="0008451F">
        <w:rPr>
          <w:rFonts w:ascii="Times New Roman" w:hAnsi="Times New Roman" w:cs="Times New Roman"/>
          <w:sz w:val="24"/>
          <w:szCs w:val="24"/>
          <w:u w:val="single"/>
        </w:rPr>
        <w:t xml:space="preserve">your </w:t>
      </w:r>
      <w:r w:rsidRPr="0008451F">
        <w:rPr>
          <w:rFonts w:ascii="Times New Roman" w:hAnsi="Times New Roman" w:cs="Times New Roman"/>
          <w:sz w:val="24"/>
          <w:szCs w:val="24"/>
        </w:rPr>
        <w:t xml:space="preserve">patient mix – as part of </w:t>
      </w:r>
      <w:r w:rsidRPr="0008451F">
        <w:rPr>
          <w:rFonts w:ascii="Times New Roman" w:hAnsi="Times New Roman" w:cs="Times New Roman"/>
          <w:sz w:val="24"/>
          <w:szCs w:val="24"/>
          <w:u w:val="single"/>
        </w:rPr>
        <w:t>your</w:t>
      </w:r>
      <w:r w:rsidRPr="0008451F">
        <w:rPr>
          <w:rFonts w:ascii="Times New Roman" w:hAnsi="Times New Roman" w:cs="Times New Roman"/>
          <w:sz w:val="24"/>
          <w:szCs w:val="24"/>
        </w:rPr>
        <w:t xml:space="preserve"> quality improvement process.</w:t>
      </w:r>
    </w:p>
    <w:p w14:paraId="4C534FBB" w14:textId="77777777" w:rsidR="000A0D75" w:rsidRPr="0008451F" w:rsidRDefault="002631FF" w:rsidP="00DD34B3">
      <w:pPr>
        <w:jc w:val="left"/>
        <w:rPr>
          <w:rFonts w:ascii="Times New Roman" w:hAnsi="Times New Roman" w:cs="Times New Roman"/>
          <w:sz w:val="24"/>
          <w:szCs w:val="24"/>
        </w:rPr>
      </w:pPr>
      <w:r w:rsidRPr="0008451F">
        <w:rPr>
          <w:rFonts w:ascii="Times New Roman" w:hAnsi="Times New Roman" w:cs="Times New Roman"/>
          <w:sz w:val="24"/>
          <w:szCs w:val="24"/>
        </w:rPr>
        <w:t>A</w:t>
      </w:r>
      <w:r w:rsidR="00201D7E" w:rsidRPr="0008451F">
        <w:rPr>
          <w:rFonts w:ascii="Times New Roman" w:hAnsi="Times New Roman" w:cs="Times New Roman"/>
          <w:sz w:val="24"/>
          <w:szCs w:val="24"/>
        </w:rPr>
        <w:t>nnual v</w:t>
      </w:r>
      <w:r w:rsidR="000A0D75" w:rsidRPr="0008451F">
        <w:rPr>
          <w:rFonts w:ascii="Times New Roman" w:hAnsi="Times New Roman" w:cs="Times New Roman"/>
          <w:sz w:val="24"/>
          <w:szCs w:val="24"/>
        </w:rPr>
        <w:t>oluntary reporting of outcomes should be made to FCAP by February 15</w:t>
      </w:r>
      <w:r w:rsidR="000A0D75" w:rsidRPr="0008451F">
        <w:rPr>
          <w:rFonts w:ascii="Times New Roman" w:hAnsi="Times New Roman" w:cs="Times New Roman"/>
          <w:sz w:val="24"/>
          <w:szCs w:val="24"/>
          <w:vertAlign w:val="superscript"/>
        </w:rPr>
        <w:t>th</w:t>
      </w:r>
      <w:r w:rsidR="00493C96" w:rsidRPr="0008451F">
        <w:rPr>
          <w:rFonts w:ascii="Times New Roman" w:hAnsi="Times New Roman" w:cs="Times New Roman"/>
          <w:sz w:val="24"/>
          <w:szCs w:val="24"/>
        </w:rPr>
        <w:t xml:space="preserve"> of the </w:t>
      </w:r>
      <w:r w:rsidR="000A0D75" w:rsidRPr="0008451F">
        <w:rPr>
          <w:rFonts w:ascii="Times New Roman" w:hAnsi="Times New Roman" w:cs="Times New Roman"/>
          <w:sz w:val="24"/>
          <w:szCs w:val="24"/>
        </w:rPr>
        <w:t>following year.</w:t>
      </w:r>
    </w:p>
    <w:p w14:paraId="33268A75" w14:textId="77777777" w:rsidR="000A0D75" w:rsidRPr="0008451F" w:rsidRDefault="00A57D2D" w:rsidP="00DD34B3">
      <w:pPr>
        <w:jc w:val="left"/>
        <w:rPr>
          <w:rFonts w:ascii="Times New Roman" w:hAnsi="Times New Roman" w:cs="Times New Roman"/>
          <w:b/>
          <w:sz w:val="24"/>
          <w:szCs w:val="24"/>
        </w:rPr>
      </w:pPr>
      <w:r w:rsidRPr="0008451F">
        <w:rPr>
          <w:rFonts w:ascii="Times New Roman" w:hAnsi="Times New Roman" w:cs="Times New Roman"/>
          <w:b/>
          <w:sz w:val="24"/>
          <w:szCs w:val="24"/>
        </w:rPr>
        <w:t>DEFINITIONS APPLICABLE TO THE FOLLOWING MEASURES:</w:t>
      </w:r>
    </w:p>
    <w:p w14:paraId="689A75F4" w14:textId="77777777" w:rsidR="00A57D2D" w:rsidRPr="0008451F" w:rsidRDefault="00A57D2D" w:rsidP="00DD34B3">
      <w:pPr>
        <w:jc w:val="left"/>
        <w:rPr>
          <w:rFonts w:ascii="Times New Roman" w:hAnsi="Times New Roman" w:cs="Times New Roman"/>
          <w:b/>
          <w:sz w:val="24"/>
          <w:szCs w:val="24"/>
          <w:u w:val="single"/>
        </w:rPr>
      </w:pPr>
      <w:r w:rsidRPr="0008451F">
        <w:rPr>
          <w:rFonts w:ascii="Times New Roman" w:hAnsi="Times New Roman" w:cs="Times New Roman"/>
          <w:b/>
          <w:sz w:val="24"/>
          <w:szCs w:val="24"/>
          <w:u w:val="single"/>
        </w:rPr>
        <w:t>Patient:</w:t>
      </w:r>
    </w:p>
    <w:p w14:paraId="08AC0E7A"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 xml:space="preserve"> Patients are i</w:t>
      </w:r>
      <w:r w:rsidR="00DE5382" w:rsidRPr="0008451F">
        <w:rPr>
          <w:rFonts w:ascii="Times New Roman" w:hAnsi="Times New Roman" w:cs="Times New Roman"/>
          <w:sz w:val="24"/>
          <w:szCs w:val="24"/>
        </w:rPr>
        <w:t>ndividuals who have at least two</w:t>
      </w:r>
      <w:r w:rsidRPr="0008451F">
        <w:rPr>
          <w:rFonts w:ascii="Times New Roman" w:hAnsi="Times New Roman" w:cs="Times New Roman"/>
          <w:sz w:val="24"/>
          <w:szCs w:val="24"/>
        </w:rPr>
        <w:t xml:space="preserve"> </w:t>
      </w:r>
      <w:r w:rsidR="007D32F1" w:rsidRPr="0008451F">
        <w:rPr>
          <w:rFonts w:ascii="Times New Roman" w:hAnsi="Times New Roman" w:cs="Times New Roman"/>
          <w:sz w:val="24"/>
          <w:szCs w:val="24"/>
        </w:rPr>
        <w:t xml:space="preserve">documented </w:t>
      </w:r>
      <w:r w:rsidRPr="0008451F">
        <w:rPr>
          <w:rFonts w:ascii="Times New Roman" w:hAnsi="Times New Roman" w:cs="Times New Roman"/>
          <w:sz w:val="24"/>
          <w:szCs w:val="24"/>
        </w:rPr>
        <w:t>visit</w:t>
      </w:r>
      <w:r w:rsidR="00DE5382" w:rsidRPr="0008451F">
        <w:rPr>
          <w:rFonts w:ascii="Times New Roman" w:hAnsi="Times New Roman" w:cs="Times New Roman"/>
          <w:sz w:val="24"/>
          <w:szCs w:val="24"/>
        </w:rPr>
        <w:t>s</w:t>
      </w:r>
      <w:r w:rsidRPr="0008451F">
        <w:rPr>
          <w:rFonts w:ascii="Times New Roman" w:hAnsi="Times New Roman" w:cs="Times New Roman"/>
          <w:sz w:val="24"/>
          <w:szCs w:val="24"/>
        </w:rPr>
        <w:t xml:space="preserve"> during the </w:t>
      </w:r>
      <w:r w:rsidR="00311939" w:rsidRPr="0008451F">
        <w:rPr>
          <w:rFonts w:ascii="Times New Roman" w:hAnsi="Times New Roman" w:cs="Times New Roman"/>
          <w:sz w:val="24"/>
          <w:szCs w:val="24"/>
        </w:rPr>
        <w:t>reporting year</w:t>
      </w:r>
      <w:r w:rsidR="007D32F1" w:rsidRPr="0008451F">
        <w:rPr>
          <w:rFonts w:ascii="Times New Roman" w:hAnsi="Times New Roman" w:cs="Times New Roman"/>
          <w:sz w:val="24"/>
          <w:szCs w:val="24"/>
        </w:rPr>
        <w:t xml:space="preserve"> and have an open medical record at the clinic</w:t>
      </w:r>
      <w:r w:rsidRPr="0008451F">
        <w:rPr>
          <w:rFonts w:ascii="Times New Roman" w:hAnsi="Times New Roman" w:cs="Times New Roman"/>
          <w:sz w:val="24"/>
          <w:szCs w:val="24"/>
        </w:rPr>
        <w:t>. The term “patient” is not limited to recipient</w:t>
      </w:r>
      <w:r w:rsidR="00311939" w:rsidRPr="0008451F">
        <w:rPr>
          <w:rFonts w:ascii="Times New Roman" w:hAnsi="Times New Roman" w:cs="Times New Roman"/>
          <w:sz w:val="24"/>
          <w:szCs w:val="24"/>
        </w:rPr>
        <w:t>s of medical or dental services</w:t>
      </w:r>
      <w:r w:rsidRPr="0008451F">
        <w:rPr>
          <w:rFonts w:ascii="Times New Roman" w:hAnsi="Times New Roman" w:cs="Times New Roman"/>
          <w:sz w:val="24"/>
          <w:szCs w:val="24"/>
        </w:rPr>
        <w:t>.</w:t>
      </w:r>
    </w:p>
    <w:p w14:paraId="4BB402F6"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b/>
          <w:sz w:val="24"/>
          <w:szCs w:val="24"/>
          <w:u w:val="single"/>
        </w:rPr>
        <w:t>Visit:</w:t>
      </w:r>
    </w:p>
    <w:p w14:paraId="53E26A63"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To be counted as having met the visit criteria, the interaction must be</w:t>
      </w:r>
      <w:r w:rsidR="00DE5382" w:rsidRPr="0008451F">
        <w:rPr>
          <w:rFonts w:ascii="Times New Roman" w:hAnsi="Times New Roman" w:cs="Times New Roman"/>
          <w:sz w:val="24"/>
          <w:szCs w:val="24"/>
        </w:rPr>
        <w:t xml:space="preserve"> a d</w:t>
      </w:r>
      <w:r w:rsidRPr="0008451F">
        <w:rPr>
          <w:rFonts w:ascii="Times New Roman" w:hAnsi="Times New Roman" w:cs="Times New Roman"/>
          <w:sz w:val="24"/>
          <w:szCs w:val="24"/>
        </w:rPr>
        <w:t xml:space="preserve">ocumented, </w:t>
      </w:r>
      <w:r w:rsidR="00DE5382" w:rsidRPr="0008451F">
        <w:rPr>
          <w:rFonts w:ascii="Times New Roman" w:hAnsi="Times New Roman" w:cs="Times New Roman"/>
          <w:sz w:val="24"/>
          <w:szCs w:val="24"/>
        </w:rPr>
        <w:t>f</w:t>
      </w:r>
      <w:r w:rsidRPr="0008451F">
        <w:rPr>
          <w:rFonts w:ascii="Times New Roman" w:hAnsi="Times New Roman" w:cs="Times New Roman"/>
          <w:sz w:val="24"/>
          <w:szCs w:val="24"/>
        </w:rPr>
        <w:t xml:space="preserve">ace-to-face contact between a patient and a </w:t>
      </w:r>
      <w:r w:rsidR="00DE5382" w:rsidRPr="0008451F">
        <w:rPr>
          <w:rFonts w:ascii="Times New Roman" w:hAnsi="Times New Roman" w:cs="Times New Roman"/>
          <w:sz w:val="24"/>
          <w:szCs w:val="24"/>
        </w:rPr>
        <w:t>l</w:t>
      </w:r>
      <w:r w:rsidRPr="0008451F">
        <w:rPr>
          <w:rFonts w:ascii="Times New Roman" w:hAnsi="Times New Roman" w:cs="Times New Roman"/>
          <w:sz w:val="24"/>
          <w:szCs w:val="24"/>
        </w:rPr>
        <w:t xml:space="preserve">icensed or otherwise credentialed provider, who </w:t>
      </w:r>
      <w:r w:rsidR="00DE5382" w:rsidRPr="0008451F">
        <w:rPr>
          <w:rFonts w:ascii="Times New Roman" w:hAnsi="Times New Roman" w:cs="Times New Roman"/>
          <w:sz w:val="24"/>
          <w:szCs w:val="24"/>
        </w:rPr>
        <w:t>e</w:t>
      </w:r>
      <w:r w:rsidRPr="0008451F">
        <w:rPr>
          <w:rFonts w:ascii="Times New Roman" w:hAnsi="Times New Roman" w:cs="Times New Roman"/>
          <w:sz w:val="24"/>
          <w:szCs w:val="24"/>
        </w:rPr>
        <w:t xml:space="preserve">xercises independent, professional judgment in the provision of services to the patient. </w:t>
      </w:r>
    </w:p>
    <w:p w14:paraId="30183BB2"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To be included as a visit, services rendered must be documented in a chart in the</w:t>
      </w:r>
      <w:r w:rsidR="00311939" w:rsidRPr="0008451F">
        <w:rPr>
          <w:rFonts w:ascii="Times New Roman" w:hAnsi="Times New Roman" w:cs="Times New Roman"/>
          <w:sz w:val="24"/>
          <w:szCs w:val="24"/>
        </w:rPr>
        <w:t xml:space="preserve"> possession of the health clinic</w:t>
      </w:r>
      <w:r w:rsidRPr="0008451F">
        <w:rPr>
          <w:rFonts w:ascii="Times New Roman" w:hAnsi="Times New Roman" w:cs="Times New Roman"/>
          <w:sz w:val="24"/>
          <w:szCs w:val="24"/>
        </w:rPr>
        <w:t xml:space="preserve">.  To meet the </w:t>
      </w:r>
      <w:r w:rsidRPr="0008451F">
        <w:rPr>
          <w:rFonts w:ascii="Times New Roman" w:hAnsi="Times New Roman" w:cs="Times New Roman"/>
          <w:b/>
          <w:sz w:val="24"/>
          <w:szCs w:val="24"/>
          <w:u w:val="single"/>
        </w:rPr>
        <w:t>criterion for documentation</w:t>
      </w:r>
      <w:r w:rsidRPr="0008451F">
        <w:rPr>
          <w:rFonts w:ascii="Times New Roman" w:hAnsi="Times New Roman" w:cs="Times New Roman"/>
          <w:sz w:val="24"/>
          <w:szCs w:val="24"/>
        </w:rPr>
        <w:t>, the service (and associated patient information) must be recorded in written or electronic form in a system which permits ready retrieval of current data for the patient. The patient record does not have to be a complete health record in order to meet this criterion. For example, if an individual receives services on an emergency basis and these services are documented, the documentation criterion is met even though some portions of the health record may not be complete.</w:t>
      </w:r>
    </w:p>
    <w:p w14:paraId="2CB6EC70" w14:textId="5A9ED395" w:rsidR="00DC0AD8" w:rsidRPr="0008451F" w:rsidRDefault="00DC0AD8" w:rsidP="00DD34B3">
      <w:pPr>
        <w:jc w:val="left"/>
        <w:rPr>
          <w:rFonts w:ascii="Times New Roman" w:hAnsi="Times New Roman" w:cs="Times New Roman"/>
          <w:sz w:val="24"/>
          <w:szCs w:val="24"/>
        </w:rPr>
      </w:pPr>
      <w:r w:rsidRPr="0008451F">
        <w:rPr>
          <w:rFonts w:ascii="Times New Roman" w:hAnsi="Times New Roman" w:cs="Times New Roman"/>
          <w:sz w:val="24"/>
          <w:szCs w:val="24"/>
        </w:rPr>
        <w:t>If a patient has a visit to a medical provider and a dental p</w:t>
      </w:r>
      <w:r w:rsidR="009729D7">
        <w:rPr>
          <w:rFonts w:ascii="Times New Roman" w:hAnsi="Times New Roman" w:cs="Times New Roman"/>
          <w:sz w:val="24"/>
          <w:szCs w:val="24"/>
        </w:rPr>
        <w:t xml:space="preserve">rovider in the same measurement </w:t>
      </w:r>
      <w:proofErr w:type="gramStart"/>
      <w:r w:rsidRPr="0008451F">
        <w:rPr>
          <w:rFonts w:ascii="Times New Roman" w:hAnsi="Times New Roman" w:cs="Times New Roman"/>
          <w:sz w:val="24"/>
          <w:szCs w:val="24"/>
        </w:rPr>
        <w:t>period</w:t>
      </w:r>
      <w:proofErr w:type="gramEnd"/>
      <w:r w:rsidRPr="0008451F">
        <w:rPr>
          <w:rFonts w:ascii="Times New Roman" w:hAnsi="Times New Roman" w:cs="Times New Roman"/>
          <w:sz w:val="24"/>
          <w:szCs w:val="24"/>
        </w:rPr>
        <w:t xml:space="preserve"> this would be counted as two visits.</w:t>
      </w:r>
    </w:p>
    <w:p w14:paraId="00995730"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lastRenderedPageBreak/>
        <w:t xml:space="preserve">Screenings such as those frequently conducted at health fairs or at schools, immunization drives for children or the elderly, services provided </w:t>
      </w:r>
      <w:proofErr w:type="spellStart"/>
      <w:r w:rsidRPr="0008451F">
        <w:rPr>
          <w:rFonts w:ascii="Times New Roman" w:hAnsi="Times New Roman" w:cs="Times New Roman"/>
          <w:sz w:val="24"/>
          <w:szCs w:val="24"/>
        </w:rPr>
        <w:t>en</w:t>
      </w:r>
      <w:proofErr w:type="spellEnd"/>
      <w:r w:rsidR="00DE5382" w:rsidRPr="0008451F">
        <w:rPr>
          <w:rFonts w:ascii="Times New Roman" w:hAnsi="Times New Roman" w:cs="Times New Roman"/>
          <w:sz w:val="24"/>
          <w:szCs w:val="24"/>
        </w:rPr>
        <w:t xml:space="preserve"> </w:t>
      </w:r>
      <w:r w:rsidRPr="0008451F">
        <w:rPr>
          <w:rFonts w:ascii="Times New Roman" w:hAnsi="Times New Roman" w:cs="Times New Roman"/>
          <w:sz w:val="24"/>
          <w:szCs w:val="24"/>
        </w:rPr>
        <w:t>mass</w:t>
      </w:r>
      <w:r w:rsidR="00DE5382" w:rsidRPr="0008451F">
        <w:rPr>
          <w:rFonts w:ascii="Times New Roman" w:hAnsi="Times New Roman" w:cs="Times New Roman"/>
          <w:sz w:val="24"/>
          <w:szCs w:val="24"/>
        </w:rPr>
        <w:t>e</w:t>
      </w:r>
      <w:r w:rsidRPr="0008451F">
        <w:rPr>
          <w:rFonts w:ascii="Times New Roman" w:hAnsi="Times New Roman" w:cs="Times New Roman"/>
          <w:sz w:val="24"/>
          <w:szCs w:val="24"/>
        </w:rPr>
        <w:t xml:space="preserve"> to identified groups, such as dental varnishes or sealants provided at schools, and similar public health efforts </w:t>
      </w:r>
      <w:r w:rsidRPr="0008451F">
        <w:rPr>
          <w:rFonts w:ascii="Times New Roman" w:hAnsi="Times New Roman" w:cs="Times New Roman"/>
          <w:b/>
          <w:sz w:val="24"/>
          <w:szCs w:val="24"/>
        </w:rPr>
        <w:t>are not</w:t>
      </w:r>
      <w:r w:rsidRPr="0008451F">
        <w:rPr>
          <w:rFonts w:ascii="Times New Roman" w:hAnsi="Times New Roman" w:cs="Times New Roman"/>
          <w:sz w:val="24"/>
          <w:szCs w:val="24"/>
        </w:rPr>
        <w:t xml:space="preserve"> counted as visits regardless of the level of documentation.</w:t>
      </w:r>
    </w:p>
    <w:p w14:paraId="15B27F64" w14:textId="77777777" w:rsidR="005E40A1"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b/>
          <w:sz w:val="24"/>
          <w:szCs w:val="24"/>
          <w:u w:val="single"/>
        </w:rPr>
        <w:t>Location:</w:t>
      </w:r>
      <w:r w:rsidRPr="0008451F">
        <w:rPr>
          <w:rFonts w:ascii="Times New Roman" w:hAnsi="Times New Roman" w:cs="Times New Roman"/>
          <w:sz w:val="24"/>
          <w:szCs w:val="24"/>
        </w:rPr>
        <w:t xml:space="preserve"> </w:t>
      </w:r>
    </w:p>
    <w:p w14:paraId="7BCDE695"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A visit may</w:t>
      </w:r>
      <w:r w:rsidR="00311939" w:rsidRPr="0008451F">
        <w:rPr>
          <w:rFonts w:ascii="Times New Roman" w:hAnsi="Times New Roman" w:cs="Times New Roman"/>
          <w:sz w:val="24"/>
          <w:szCs w:val="24"/>
        </w:rPr>
        <w:t xml:space="preserve"> take place in the health clinic</w:t>
      </w:r>
      <w:r w:rsidRPr="0008451F">
        <w:rPr>
          <w:rFonts w:ascii="Times New Roman" w:hAnsi="Times New Roman" w:cs="Times New Roman"/>
          <w:sz w:val="24"/>
          <w:szCs w:val="24"/>
        </w:rPr>
        <w:t xml:space="preserve"> or at any other approved site or loc</w:t>
      </w:r>
      <w:r w:rsidR="00311939" w:rsidRPr="0008451F">
        <w:rPr>
          <w:rFonts w:ascii="Times New Roman" w:hAnsi="Times New Roman" w:cs="Times New Roman"/>
          <w:sz w:val="24"/>
          <w:szCs w:val="24"/>
        </w:rPr>
        <w:t>ation in which</w:t>
      </w:r>
      <w:r w:rsidR="00DE5382" w:rsidRPr="0008451F">
        <w:rPr>
          <w:rFonts w:ascii="Times New Roman" w:hAnsi="Times New Roman" w:cs="Times New Roman"/>
          <w:sz w:val="24"/>
          <w:szCs w:val="24"/>
        </w:rPr>
        <w:t xml:space="preserve"> services are provided</w:t>
      </w:r>
      <w:r w:rsidRPr="0008451F">
        <w:rPr>
          <w:rFonts w:ascii="Times New Roman" w:hAnsi="Times New Roman" w:cs="Times New Roman"/>
          <w:sz w:val="24"/>
          <w:szCs w:val="24"/>
        </w:rPr>
        <w:t>.</w:t>
      </w:r>
    </w:p>
    <w:p w14:paraId="2513E3DF" w14:textId="77777777" w:rsidR="00A57D2D" w:rsidRPr="0008451F" w:rsidRDefault="00A57D2D" w:rsidP="00DD34B3">
      <w:pPr>
        <w:jc w:val="left"/>
        <w:rPr>
          <w:rFonts w:ascii="Times New Roman" w:hAnsi="Times New Roman" w:cs="Times New Roman"/>
          <w:b/>
          <w:sz w:val="24"/>
          <w:szCs w:val="24"/>
          <w:u w:val="single"/>
        </w:rPr>
      </w:pPr>
      <w:r w:rsidRPr="0008451F">
        <w:rPr>
          <w:rFonts w:ascii="Times New Roman" w:hAnsi="Times New Roman" w:cs="Times New Roman"/>
          <w:b/>
          <w:sz w:val="24"/>
          <w:szCs w:val="24"/>
          <w:u w:val="single"/>
        </w:rPr>
        <w:t>Inte</w:t>
      </w:r>
      <w:r w:rsidR="00C821CF" w:rsidRPr="0008451F">
        <w:rPr>
          <w:rFonts w:ascii="Times New Roman" w:hAnsi="Times New Roman" w:cs="Times New Roman"/>
          <w:b/>
          <w:sz w:val="24"/>
          <w:szCs w:val="24"/>
          <w:u w:val="single"/>
        </w:rPr>
        <w:t>ractions not counted as a visit:</w:t>
      </w:r>
    </w:p>
    <w:p w14:paraId="071995F1"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Ancillary services including, but not limited to, drawing blood, collecting urine specimens, performing laboratory tests (including pre</w:t>
      </w:r>
      <w:r w:rsidR="00DE5382" w:rsidRPr="0008451F">
        <w:rPr>
          <w:rFonts w:ascii="Times New Roman" w:hAnsi="Times New Roman" w:cs="Times New Roman"/>
          <w:sz w:val="24"/>
          <w:szCs w:val="24"/>
        </w:rPr>
        <w:t>gnancy tests and PPDs</w:t>
      </w:r>
      <w:r w:rsidR="00DC0AD8" w:rsidRPr="0008451F">
        <w:rPr>
          <w:rFonts w:ascii="Times New Roman" w:hAnsi="Times New Roman" w:cs="Times New Roman"/>
          <w:sz w:val="24"/>
          <w:szCs w:val="24"/>
        </w:rPr>
        <w:t>*</w:t>
      </w:r>
      <w:r w:rsidR="00DE5382" w:rsidRPr="0008451F">
        <w:rPr>
          <w:rFonts w:ascii="Times New Roman" w:hAnsi="Times New Roman" w:cs="Times New Roman"/>
          <w:sz w:val="24"/>
          <w:szCs w:val="24"/>
        </w:rPr>
        <w:t>), taking x-</w:t>
      </w:r>
      <w:r w:rsidRPr="0008451F">
        <w:rPr>
          <w:rFonts w:ascii="Times New Roman" w:hAnsi="Times New Roman" w:cs="Times New Roman"/>
          <w:sz w:val="24"/>
          <w:szCs w:val="24"/>
        </w:rPr>
        <w:t xml:space="preserve">rays, giving immunizations or other injections, and filling/dispensing prescriptions, including prescriptions for substance abuse prevention or treatment, </w:t>
      </w:r>
      <w:r w:rsidRPr="0008451F">
        <w:rPr>
          <w:rFonts w:ascii="Times New Roman" w:hAnsi="Times New Roman" w:cs="Times New Roman"/>
          <w:b/>
          <w:sz w:val="24"/>
          <w:szCs w:val="24"/>
          <w:u w:val="single"/>
        </w:rPr>
        <w:t>do not</w:t>
      </w:r>
      <w:r w:rsidRPr="0008451F">
        <w:rPr>
          <w:rFonts w:ascii="Times New Roman" w:hAnsi="Times New Roman" w:cs="Times New Roman"/>
          <w:sz w:val="24"/>
          <w:szCs w:val="24"/>
        </w:rPr>
        <w:t xml:space="preserve"> constitute visits, regardless of the level or quantity of supportive services. </w:t>
      </w:r>
    </w:p>
    <w:p w14:paraId="7B99ED4D"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Tests are provided to support the services of the clinical programs. Neither laboratory tests (including PPDs, pregnancy tests, H</w:t>
      </w:r>
      <w:r w:rsidR="00DE5382" w:rsidRPr="0008451F">
        <w:rPr>
          <w:rFonts w:ascii="Times New Roman" w:hAnsi="Times New Roman" w:cs="Times New Roman"/>
          <w:sz w:val="24"/>
          <w:szCs w:val="24"/>
        </w:rPr>
        <w:t>bA1c tests, blood pressure measurement independent of a provider encounter</w:t>
      </w:r>
      <w:r w:rsidRPr="0008451F">
        <w:rPr>
          <w:rFonts w:ascii="Times New Roman" w:hAnsi="Times New Roman" w:cs="Times New Roman"/>
          <w:sz w:val="24"/>
          <w:szCs w:val="24"/>
        </w:rPr>
        <w:t xml:space="preserve">, etc.) nor imaging tests (including sonography, radiology, mammography, </w:t>
      </w:r>
      <w:proofErr w:type="spellStart"/>
      <w:r w:rsidRPr="0008451F">
        <w:rPr>
          <w:rFonts w:ascii="Times New Roman" w:hAnsi="Times New Roman" w:cs="Times New Roman"/>
          <w:sz w:val="24"/>
          <w:szCs w:val="24"/>
        </w:rPr>
        <w:t>retinography</w:t>
      </w:r>
      <w:proofErr w:type="spellEnd"/>
      <w:r w:rsidRPr="0008451F">
        <w:rPr>
          <w:rFonts w:ascii="Times New Roman" w:hAnsi="Times New Roman" w:cs="Times New Roman"/>
          <w:sz w:val="24"/>
          <w:szCs w:val="24"/>
        </w:rPr>
        <w:t xml:space="preserve">, computerized axial tomography scans, and other imaging) are counted as a visit by themselves. </w:t>
      </w:r>
    </w:p>
    <w:p w14:paraId="5B31B05C" w14:textId="77777777" w:rsidR="00A57D2D" w:rsidRPr="0008451F" w:rsidRDefault="00A57D2D" w:rsidP="00DD34B3">
      <w:pPr>
        <w:jc w:val="left"/>
        <w:rPr>
          <w:rFonts w:ascii="Times New Roman" w:hAnsi="Times New Roman" w:cs="Times New Roman"/>
          <w:sz w:val="24"/>
          <w:szCs w:val="24"/>
        </w:rPr>
      </w:pPr>
      <w:r w:rsidRPr="0008451F">
        <w:rPr>
          <w:rFonts w:ascii="Times New Roman" w:hAnsi="Times New Roman" w:cs="Times New Roman"/>
          <w:sz w:val="24"/>
          <w:szCs w:val="24"/>
        </w:rPr>
        <w:t xml:space="preserve"> Dispensing medications is not consider</w:t>
      </w:r>
      <w:r w:rsidR="00311939" w:rsidRPr="0008451F">
        <w:rPr>
          <w:rFonts w:ascii="Times New Roman" w:hAnsi="Times New Roman" w:cs="Times New Roman"/>
          <w:sz w:val="24"/>
          <w:szCs w:val="24"/>
        </w:rPr>
        <w:t xml:space="preserve">ed a visit. </w:t>
      </w:r>
      <w:r w:rsidRPr="0008451F">
        <w:rPr>
          <w:rFonts w:ascii="Times New Roman" w:hAnsi="Times New Roman" w:cs="Times New Roman"/>
          <w:sz w:val="24"/>
          <w:szCs w:val="24"/>
        </w:rPr>
        <w:t xml:space="preserve"> </w:t>
      </w:r>
    </w:p>
    <w:p w14:paraId="1C47B056" w14:textId="525E87B7" w:rsidR="00DC0AD8" w:rsidRDefault="00DC0AD8" w:rsidP="00DD34B3">
      <w:pPr>
        <w:jc w:val="left"/>
        <w:rPr>
          <w:rFonts w:ascii="Times New Roman" w:hAnsi="Times New Roman" w:cs="Times New Roman"/>
          <w:sz w:val="24"/>
          <w:szCs w:val="24"/>
        </w:rPr>
      </w:pPr>
      <w:r w:rsidRPr="0008451F">
        <w:rPr>
          <w:rFonts w:ascii="Times New Roman" w:hAnsi="Times New Roman" w:cs="Times New Roman"/>
          <w:sz w:val="24"/>
          <w:szCs w:val="24"/>
        </w:rPr>
        <w:t>*If a PPD test is read by a Nurse or a non-physician individual appropriately trained to read PPDs, it is not counted as a visit.  If the reading leads to additional follow-up with the Physician, that visit is counted.</w:t>
      </w:r>
    </w:p>
    <w:p w14:paraId="0F894CD4" w14:textId="21551039" w:rsidR="0008451F" w:rsidRDefault="0008451F" w:rsidP="00DD34B3">
      <w:pPr>
        <w:jc w:val="left"/>
        <w:rPr>
          <w:rFonts w:ascii="Times New Roman" w:hAnsi="Times New Roman" w:cs="Times New Roman"/>
          <w:sz w:val="24"/>
          <w:szCs w:val="24"/>
        </w:rPr>
      </w:pPr>
    </w:p>
    <w:p w14:paraId="575C1ED1" w14:textId="0417160A" w:rsidR="0008451F" w:rsidRDefault="0008451F" w:rsidP="00DD34B3">
      <w:pPr>
        <w:jc w:val="left"/>
        <w:rPr>
          <w:rFonts w:ascii="Times New Roman" w:hAnsi="Times New Roman" w:cs="Times New Roman"/>
          <w:sz w:val="24"/>
          <w:szCs w:val="24"/>
        </w:rPr>
      </w:pPr>
    </w:p>
    <w:p w14:paraId="04B53682" w14:textId="36F8C788" w:rsidR="0008451F" w:rsidRDefault="0008451F" w:rsidP="00DD34B3">
      <w:pPr>
        <w:jc w:val="left"/>
        <w:rPr>
          <w:rFonts w:ascii="Times New Roman" w:hAnsi="Times New Roman" w:cs="Times New Roman"/>
          <w:sz w:val="24"/>
          <w:szCs w:val="24"/>
        </w:rPr>
      </w:pPr>
    </w:p>
    <w:p w14:paraId="010B8FFD" w14:textId="339F9FBF" w:rsidR="0008451F" w:rsidRDefault="0008451F" w:rsidP="00DD34B3">
      <w:pPr>
        <w:jc w:val="left"/>
        <w:rPr>
          <w:rFonts w:ascii="Times New Roman" w:hAnsi="Times New Roman" w:cs="Times New Roman"/>
          <w:sz w:val="24"/>
          <w:szCs w:val="24"/>
        </w:rPr>
      </w:pPr>
    </w:p>
    <w:p w14:paraId="0DC03D21" w14:textId="22F5D8B2" w:rsidR="0008451F" w:rsidRDefault="0008451F" w:rsidP="00DD34B3">
      <w:pPr>
        <w:jc w:val="left"/>
        <w:rPr>
          <w:rFonts w:ascii="Times New Roman" w:hAnsi="Times New Roman" w:cs="Times New Roman"/>
          <w:sz w:val="24"/>
          <w:szCs w:val="24"/>
        </w:rPr>
      </w:pPr>
    </w:p>
    <w:p w14:paraId="4C86DB40" w14:textId="6C95F961" w:rsidR="0008451F" w:rsidRDefault="0008451F" w:rsidP="00DD34B3">
      <w:pPr>
        <w:jc w:val="left"/>
        <w:rPr>
          <w:rFonts w:ascii="Times New Roman" w:hAnsi="Times New Roman" w:cs="Times New Roman"/>
          <w:sz w:val="24"/>
          <w:szCs w:val="24"/>
        </w:rPr>
      </w:pPr>
    </w:p>
    <w:p w14:paraId="508CFF90" w14:textId="4C3524EF" w:rsidR="0008451F" w:rsidRDefault="0008451F" w:rsidP="00DD34B3">
      <w:pPr>
        <w:jc w:val="left"/>
        <w:rPr>
          <w:rFonts w:ascii="Times New Roman" w:hAnsi="Times New Roman" w:cs="Times New Roman"/>
          <w:sz w:val="24"/>
          <w:szCs w:val="24"/>
        </w:rPr>
      </w:pPr>
    </w:p>
    <w:p w14:paraId="2DD6B4B3" w14:textId="77777777" w:rsidR="0008451F" w:rsidRPr="0008451F" w:rsidRDefault="0008451F" w:rsidP="00DD34B3">
      <w:pPr>
        <w:jc w:val="left"/>
        <w:rPr>
          <w:rFonts w:ascii="Times New Roman" w:hAnsi="Times New Roman" w:cs="Times New Roman"/>
          <w:sz w:val="24"/>
          <w:szCs w:val="24"/>
        </w:rPr>
      </w:pPr>
    </w:p>
    <w:p w14:paraId="054490D6" w14:textId="77777777" w:rsidR="00F57A5F" w:rsidRPr="00CB1C0C" w:rsidRDefault="00F57A5F" w:rsidP="00DD34B3">
      <w:pPr>
        <w:jc w:val="left"/>
        <w:rPr>
          <w:rFonts w:ascii="Times New Roman" w:hAnsi="Times New Roman" w:cs="Times New Roman"/>
          <w:b/>
          <w:sz w:val="28"/>
          <w:szCs w:val="28"/>
        </w:rPr>
      </w:pPr>
      <w:r w:rsidRPr="00CB1C0C">
        <w:rPr>
          <w:rFonts w:ascii="Times New Roman" w:hAnsi="Times New Roman" w:cs="Times New Roman"/>
          <w:b/>
          <w:sz w:val="28"/>
          <w:szCs w:val="28"/>
        </w:rPr>
        <w:lastRenderedPageBreak/>
        <w:t>CLINICAL PERFORMANCE MEASURES</w:t>
      </w:r>
    </w:p>
    <w:p w14:paraId="3275210F" w14:textId="77777777" w:rsidR="00DD34B3" w:rsidRPr="0008451F" w:rsidRDefault="00DD34B3" w:rsidP="00DD34B3">
      <w:pPr>
        <w:jc w:val="left"/>
        <w:rPr>
          <w:rFonts w:ascii="Times New Roman" w:hAnsi="Times New Roman" w:cs="Times New Roman"/>
          <w:b/>
          <w:sz w:val="24"/>
          <w:szCs w:val="24"/>
          <w:u w:val="single"/>
        </w:rPr>
      </w:pPr>
      <w:r w:rsidRPr="0008451F">
        <w:rPr>
          <w:rFonts w:ascii="Times New Roman" w:hAnsi="Times New Roman" w:cs="Times New Roman"/>
          <w:b/>
          <w:sz w:val="24"/>
          <w:szCs w:val="24"/>
          <w:u w:val="single"/>
        </w:rPr>
        <w:t>Diabetes</w:t>
      </w:r>
      <w:r w:rsidR="00DE5382" w:rsidRPr="0008451F">
        <w:rPr>
          <w:rFonts w:ascii="Times New Roman" w:hAnsi="Times New Roman" w:cs="Times New Roman"/>
          <w:b/>
          <w:sz w:val="24"/>
          <w:szCs w:val="24"/>
          <w:u w:val="single"/>
        </w:rPr>
        <w:t xml:space="preserve"> – HbA1c Control</w:t>
      </w:r>
    </w:p>
    <w:p w14:paraId="52820295" w14:textId="07360E5B" w:rsidR="00DD34B3" w:rsidRPr="0008451F" w:rsidRDefault="00DD34B3" w:rsidP="00DD34B3">
      <w:pPr>
        <w:pStyle w:val="NormalWeb"/>
        <w:shd w:val="clear" w:color="auto" w:fill="FFFFFF"/>
        <w:rPr>
          <w:lang w:val="en"/>
        </w:rPr>
      </w:pPr>
      <w:r w:rsidRPr="0008451F">
        <w:rPr>
          <w:b/>
          <w:bCs/>
          <w:lang w:val="en"/>
        </w:rPr>
        <w:t xml:space="preserve">Percentage of adult patients 18 </w:t>
      </w:r>
      <w:r w:rsidR="00334A94">
        <w:rPr>
          <w:b/>
          <w:bCs/>
          <w:lang w:val="en"/>
        </w:rPr>
        <w:t>and older</w:t>
      </w:r>
      <w:r w:rsidRPr="0008451F">
        <w:rPr>
          <w:b/>
          <w:bCs/>
          <w:lang w:val="en"/>
        </w:rPr>
        <w:t xml:space="preserve"> with a diagnosis of Type I or Type II diabetes, whose hemoglobin A1c (Hb</w:t>
      </w:r>
      <w:r w:rsidR="00DE5382" w:rsidRPr="0008451F">
        <w:rPr>
          <w:b/>
          <w:bCs/>
          <w:lang w:val="en"/>
        </w:rPr>
        <w:t>A1c) was less than or equal to 8</w:t>
      </w:r>
      <w:r w:rsidRPr="0008451F">
        <w:rPr>
          <w:b/>
          <w:bCs/>
          <w:lang w:val="en"/>
        </w:rPr>
        <w:t>% at the time of the last reading in the measurement year</w:t>
      </w:r>
    </w:p>
    <w:p w14:paraId="60A9E891" w14:textId="5F06B4F9" w:rsidR="00DD34B3" w:rsidRPr="0008451F" w:rsidRDefault="00DD34B3" w:rsidP="00DD34B3">
      <w:pPr>
        <w:pStyle w:val="NormalWeb"/>
        <w:shd w:val="clear" w:color="auto" w:fill="FFFFFF"/>
        <w:rPr>
          <w:lang w:val="en"/>
        </w:rPr>
      </w:pPr>
      <w:r w:rsidRPr="0008451F">
        <w:rPr>
          <w:b/>
          <w:bCs/>
          <w:lang w:val="en"/>
        </w:rPr>
        <w:t>Numerator</w:t>
      </w:r>
      <w:r w:rsidRPr="0008451F">
        <w:rPr>
          <w:lang w:val="en"/>
        </w:rPr>
        <w:t xml:space="preserve">: Number of adult patients </w:t>
      </w:r>
      <w:r w:rsidR="007D32F1" w:rsidRPr="0008451F">
        <w:rPr>
          <w:lang w:val="en"/>
        </w:rPr>
        <w:t xml:space="preserve">18 </w:t>
      </w:r>
      <w:r w:rsidR="00334A94">
        <w:rPr>
          <w:lang w:val="en"/>
        </w:rPr>
        <w:t>and older</w:t>
      </w:r>
      <w:r w:rsidR="007D32F1" w:rsidRPr="0008451F">
        <w:rPr>
          <w:lang w:val="en"/>
        </w:rPr>
        <w:t xml:space="preserve"> </w:t>
      </w:r>
      <w:r w:rsidRPr="0008451F">
        <w:rPr>
          <w:lang w:val="en"/>
        </w:rPr>
        <w:t>whose most recent hemoglobin A1c level dur</w:t>
      </w:r>
      <w:r w:rsidR="00724D84" w:rsidRPr="0008451F">
        <w:rPr>
          <w:lang w:val="en"/>
        </w:rPr>
        <w:t>ing the measurement year is &lt;= 8</w:t>
      </w:r>
      <w:r w:rsidRPr="0008451F">
        <w:rPr>
          <w:lang w:val="en"/>
        </w:rPr>
        <w:t>% among those patients included in the denominator</w:t>
      </w:r>
    </w:p>
    <w:p w14:paraId="714BE5BA" w14:textId="33A7E788" w:rsidR="00DD34B3" w:rsidRPr="0008451F" w:rsidRDefault="00DD34B3" w:rsidP="00DD34B3">
      <w:pPr>
        <w:pStyle w:val="NormalWeb"/>
        <w:shd w:val="clear" w:color="auto" w:fill="FFFFFF"/>
        <w:rPr>
          <w:lang w:val="en"/>
        </w:rPr>
      </w:pPr>
      <w:r w:rsidRPr="0008451F">
        <w:rPr>
          <w:b/>
          <w:bCs/>
          <w:lang w:val="en"/>
        </w:rPr>
        <w:t>Denominator</w:t>
      </w:r>
      <w:r w:rsidRPr="0008451F">
        <w:rPr>
          <w:lang w:val="en"/>
        </w:rPr>
        <w:t xml:space="preserve">: Number of adult patients aged 18 </w:t>
      </w:r>
      <w:r w:rsidR="00334A94">
        <w:rPr>
          <w:lang w:val="en"/>
        </w:rPr>
        <w:t>and older as</w:t>
      </w:r>
      <w:r w:rsidRPr="0008451F">
        <w:rPr>
          <w:lang w:val="en"/>
        </w:rPr>
        <w:t xml:space="preserve"> of December 31 of the measurement year with a diagnosis of Type I or II diabetes AND, who have been seen in the clinic for medical visits at least twice during the reporting year AND,</w:t>
      </w:r>
      <w:r w:rsidR="007D32F1" w:rsidRPr="0008451F">
        <w:rPr>
          <w:lang w:val="en"/>
        </w:rPr>
        <w:t xml:space="preserve"> had an A1c test AND,</w:t>
      </w:r>
      <w:r w:rsidRPr="0008451F">
        <w:rPr>
          <w:lang w:val="en"/>
        </w:rPr>
        <w:t xml:space="preserve"> do not meet any of the exclusion </w:t>
      </w:r>
      <w:r w:rsidR="00311939" w:rsidRPr="0008451F">
        <w:rPr>
          <w:lang w:val="en"/>
        </w:rPr>
        <w:t>criteria.</w:t>
      </w:r>
    </w:p>
    <w:p w14:paraId="07B915B9" w14:textId="77777777" w:rsidR="002717A0" w:rsidRPr="0008451F" w:rsidRDefault="002717A0" w:rsidP="002717A0">
      <w:pPr>
        <w:jc w:val="left"/>
        <w:rPr>
          <w:rFonts w:ascii="Times New Roman" w:hAnsi="Times New Roman" w:cs="Times New Roman"/>
          <w:sz w:val="24"/>
          <w:szCs w:val="24"/>
        </w:rPr>
      </w:pPr>
      <w:r w:rsidRPr="0008451F">
        <w:rPr>
          <w:rFonts w:ascii="Times New Roman" w:hAnsi="Times New Roman" w:cs="Times New Roman"/>
          <w:sz w:val="24"/>
          <w:szCs w:val="24"/>
        </w:rPr>
        <w:t xml:space="preserve">Exclusions:  </w:t>
      </w:r>
    </w:p>
    <w:p w14:paraId="62830524" w14:textId="77777777" w:rsidR="002717A0" w:rsidRPr="0008451F" w:rsidRDefault="002717A0" w:rsidP="002717A0">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Patients not diagnosed with Diabetes Type I or Type II.</w:t>
      </w:r>
    </w:p>
    <w:p w14:paraId="576912FD" w14:textId="77777777" w:rsidR="002717A0" w:rsidRPr="0008451F" w:rsidRDefault="002717A0" w:rsidP="002717A0">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Steroid induced Diabetes.</w:t>
      </w:r>
    </w:p>
    <w:p w14:paraId="750A56BD" w14:textId="77777777" w:rsidR="002717A0" w:rsidRPr="0008451F" w:rsidRDefault="002717A0" w:rsidP="002717A0">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Gestational Diabetes</w:t>
      </w:r>
    </w:p>
    <w:p w14:paraId="28AE80E8" w14:textId="77777777" w:rsidR="002717A0" w:rsidRPr="0008451F" w:rsidRDefault="002717A0" w:rsidP="002717A0">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Polycystic Ovary</w:t>
      </w:r>
    </w:p>
    <w:p w14:paraId="62F7D082" w14:textId="77777777" w:rsidR="00A43271" w:rsidRPr="0008451F" w:rsidRDefault="00A43271" w:rsidP="00A43271">
      <w:pPr>
        <w:jc w:val="left"/>
        <w:rPr>
          <w:rFonts w:ascii="Times New Roman" w:hAnsi="Times New Roman" w:cs="Times New Roman"/>
          <w:sz w:val="24"/>
          <w:szCs w:val="24"/>
        </w:rPr>
      </w:pPr>
      <w:r w:rsidRPr="0008451F">
        <w:rPr>
          <w:rFonts w:ascii="Times New Roman" w:hAnsi="Times New Roman" w:cs="Times New Roman"/>
          <w:sz w:val="24"/>
          <w:szCs w:val="24"/>
        </w:rPr>
        <w:t>Note:</w:t>
      </w:r>
    </w:p>
    <w:p w14:paraId="5806ECEF" w14:textId="77777777" w:rsidR="00A43271" w:rsidRPr="0008451F" w:rsidRDefault="00A43271" w:rsidP="00A43271">
      <w:pPr>
        <w:pStyle w:val="ListParagraph"/>
        <w:numPr>
          <w:ilvl w:val="0"/>
          <w:numId w:val="11"/>
        </w:numPr>
        <w:spacing w:after="0" w:line="252" w:lineRule="auto"/>
        <w:jc w:val="left"/>
        <w:rPr>
          <w:rFonts w:ascii="Times New Roman" w:hAnsi="Times New Roman" w:cs="Times New Roman"/>
          <w:sz w:val="24"/>
          <w:szCs w:val="24"/>
        </w:rPr>
      </w:pPr>
      <w:r w:rsidRPr="0008451F">
        <w:rPr>
          <w:rFonts w:ascii="Times New Roman" w:hAnsi="Times New Roman" w:cs="Times New Roman"/>
          <w:sz w:val="24"/>
          <w:szCs w:val="24"/>
        </w:rPr>
        <w:t>The purpose of this measure is not to determine if an A1c is done on diabetic patients.  The assumption with the measure as its been written by HEDIS and adopted by the subcommittee who drafted the FCAP measures is that an A1c is done on all diabetic patients.</w:t>
      </w:r>
    </w:p>
    <w:p w14:paraId="1CBC6145" w14:textId="77777777" w:rsidR="00DC0AD8" w:rsidRPr="0008451F" w:rsidRDefault="00DC0AD8" w:rsidP="00A43271">
      <w:pPr>
        <w:pStyle w:val="ListParagraph"/>
        <w:numPr>
          <w:ilvl w:val="0"/>
          <w:numId w:val="7"/>
        </w:numPr>
        <w:jc w:val="left"/>
        <w:rPr>
          <w:rFonts w:ascii="Times New Roman" w:hAnsi="Times New Roman" w:cs="Times New Roman"/>
          <w:sz w:val="24"/>
          <w:szCs w:val="24"/>
        </w:rPr>
      </w:pPr>
      <w:r w:rsidRPr="0008451F">
        <w:rPr>
          <w:rFonts w:ascii="Times New Roman" w:hAnsi="Times New Roman" w:cs="Times New Roman"/>
          <w:sz w:val="24"/>
          <w:szCs w:val="24"/>
        </w:rPr>
        <w:t>If the patient has had more than one A1c in the reporting period, count the most recent A1c result.</w:t>
      </w:r>
    </w:p>
    <w:p w14:paraId="01EC62BF" w14:textId="77777777" w:rsidR="00DD34B3" w:rsidRPr="0008451F" w:rsidRDefault="00DD34B3" w:rsidP="00DD34B3">
      <w:pPr>
        <w:jc w:val="left"/>
        <w:rPr>
          <w:rFonts w:ascii="Times New Roman" w:hAnsi="Times New Roman" w:cs="Times New Roman"/>
          <w:sz w:val="24"/>
          <w:szCs w:val="24"/>
        </w:rPr>
      </w:pPr>
      <w:r w:rsidRPr="0008451F">
        <w:rPr>
          <w:rFonts w:ascii="Times New Roman" w:hAnsi="Times New Roman" w:cs="Times New Roman"/>
          <w:b/>
          <w:sz w:val="24"/>
          <w:szCs w:val="24"/>
          <w:u w:val="single"/>
        </w:rPr>
        <w:t>Breast Cancer Screening</w:t>
      </w:r>
    </w:p>
    <w:p w14:paraId="6494E239" w14:textId="77777777" w:rsidR="00DD34B3" w:rsidRPr="0008451F" w:rsidRDefault="00DE5382" w:rsidP="00DD34B3">
      <w:pPr>
        <w:jc w:val="left"/>
        <w:rPr>
          <w:rFonts w:ascii="Times New Roman" w:hAnsi="Times New Roman" w:cs="Times New Roman"/>
          <w:b/>
          <w:sz w:val="24"/>
          <w:szCs w:val="24"/>
        </w:rPr>
      </w:pPr>
      <w:r w:rsidRPr="0008451F">
        <w:rPr>
          <w:rFonts w:ascii="Times New Roman" w:hAnsi="Times New Roman" w:cs="Times New Roman"/>
          <w:b/>
          <w:sz w:val="24"/>
          <w:szCs w:val="24"/>
        </w:rPr>
        <w:t>Percentage of women ages 50-74</w:t>
      </w:r>
      <w:r w:rsidR="00C821CF" w:rsidRPr="0008451F">
        <w:rPr>
          <w:rFonts w:ascii="Times New Roman" w:hAnsi="Times New Roman" w:cs="Times New Roman"/>
          <w:b/>
          <w:sz w:val="24"/>
          <w:szCs w:val="24"/>
        </w:rPr>
        <w:t xml:space="preserve"> who had a mammogram to screen for breast cancer in the last measurement year.</w:t>
      </w:r>
    </w:p>
    <w:p w14:paraId="3EB77E53" w14:textId="3F06C4AC" w:rsidR="00C821CF" w:rsidRPr="0008451F" w:rsidRDefault="00C821CF" w:rsidP="00DD34B3">
      <w:pPr>
        <w:jc w:val="left"/>
        <w:rPr>
          <w:rFonts w:ascii="Times New Roman" w:hAnsi="Times New Roman" w:cs="Times New Roman"/>
          <w:sz w:val="24"/>
          <w:szCs w:val="24"/>
        </w:rPr>
      </w:pPr>
      <w:r w:rsidRPr="0008451F">
        <w:rPr>
          <w:rFonts w:ascii="Times New Roman" w:hAnsi="Times New Roman" w:cs="Times New Roman"/>
          <w:b/>
          <w:sz w:val="24"/>
          <w:szCs w:val="24"/>
        </w:rPr>
        <w:t>Numerator</w:t>
      </w:r>
      <w:r w:rsidR="00DE5382" w:rsidRPr="0008451F">
        <w:rPr>
          <w:rFonts w:ascii="Times New Roman" w:hAnsi="Times New Roman" w:cs="Times New Roman"/>
          <w:sz w:val="24"/>
          <w:szCs w:val="24"/>
        </w:rPr>
        <w:t>:  Number of women ages 50-74</w:t>
      </w:r>
      <w:r w:rsidRPr="0008451F">
        <w:rPr>
          <w:rFonts w:ascii="Times New Roman" w:hAnsi="Times New Roman" w:cs="Times New Roman"/>
          <w:sz w:val="24"/>
          <w:szCs w:val="24"/>
        </w:rPr>
        <w:t xml:space="preserve"> who had a mammogram to screen for breast c</w:t>
      </w:r>
      <w:r w:rsidR="00724D84" w:rsidRPr="0008451F">
        <w:rPr>
          <w:rFonts w:ascii="Times New Roman" w:hAnsi="Times New Roman" w:cs="Times New Roman"/>
          <w:sz w:val="24"/>
          <w:szCs w:val="24"/>
        </w:rPr>
        <w:t xml:space="preserve">ancer in the last </w:t>
      </w:r>
      <w:r w:rsidRPr="0008451F">
        <w:rPr>
          <w:rFonts w:ascii="Times New Roman" w:hAnsi="Times New Roman" w:cs="Times New Roman"/>
          <w:sz w:val="24"/>
          <w:szCs w:val="24"/>
        </w:rPr>
        <w:t>measurement year.</w:t>
      </w:r>
    </w:p>
    <w:p w14:paraId="207609ED" w14:textId="77777777" w:rsidR="00C821CF" w:rsidRPr="0008451F" w:rsidRDefault="00C821CF" w:rsidP="00DD34B3">
      <w:pPr>
        <w:jc w:val="left"/>
        <w:rPr>
          <w:rFonts w:ascii="Times New Roman" w:hAnsi="Times New Roman" w:cs="Times New Roman"/>
          <w:sz w:val="24"/>
          <w:szCs w:val="24"/>
        </w:rPr>
      </w:pPr>
      <w:r w:rsidRPr="0008451F">
        <w:rPr>
          <w:rFonts w:ascii="Times New Roman" w:hAnsi="Times New Roman" w:cs="Times New Roman"/>
          <w:b/>
          <w:sz w:val="24"/>
          <w:szCs w:val="24"/>
        </w:rPr>
        <w:t>Denominator</w:t>
      </w:r>
      <w:r w:rsidR="00DE5382" w:rsidRPr="0008451F">
        <w:rPr>
          <w:rFonts w:ascii="Times New Roman" w:hAnsi="Times New Roman" w:cs="Times New Roman"/>
          <w:sz w:val="24"/>
          <w:szCs w:val="24"/>
        </w:rPr>
        <w:t>: Number of women ages 50-74</w:t>
      </w:r>
      <w:r w:rsidRPr="0008451F">
        <w:rPr>
          <w:rFonts w:ascii="Times New Roman" w:hAnsi="Times New Roman" w:cs="Times New Roman"/>
          <w:sz w:val="24"/>
          <w:szCs w:val="24"/>
        </w:rPr>
        <w:t xml:space="preserve"> as of December 31 of the measurement year who has been seen in the clinic f</w:t>
      </w:r>
      <w:r w:rsidR="007D32F1" w:rsidRPr="0008451F">
        <w:rPr>
          <w:rFonts w:ascii="Times New Roman" w:hAnsi="Times New Roman" w:cs="Times New Roman"/>
          <w:sz w:val="24"/>
          <w:szCs w:val="24"/>
        </w:rPr>
        <w:t>or a medical visit at least twice</w:t>
      </w:r>
      <w:r w:rsidR="00724D84" w:rsidRPr="0008451F">
        <w:rPr>
          <w:rFonts w:ascii="Times New Roman" w:hAnsi="Times New Roman" w:cs="Times New Roman"/>
          <w:sz w:val="24"/>
          <w:szCs w:val="24"/>
        </w:rPr>
        <w:t xml:space="preserve"> during the reporting period</w:t>
      </w:r>
      <w:r w:rsidRPr="0008451F">
        <w:rPr>
          <w:rFonts w:ascii="Times New Roman" w:hAnsi="Times New Roman" w:cs="Times New Roman"/>
          <w:sz w:val="24"/>
          <w:szCs w:val="24"/>
        </w:rPr>
        <w:t>.</w:t>
      </w:r>
    </w:p>
    <w:p w14:paraId="6B677F6B" w14:textId="77777777" w:rsidR="00DC0AD8" w:rsidRPr="0008451F" w:rsidRDefault="00C821CF" w:rsidP="00DD34B3">
      <w:pPr>
        <w:jc w:val="left"/>
        <w:rPr>
          <w:rFonts w:ascii="Times New Roman" w:hAnsi="Times New Roman" w:cs="Times New Roman"/>
          <w:sz w:val="24"/>
          <w:szCs w:val="24"/>
        </w:rPr>
      </w:pPr>
      <w:r w:rsidRPr="0008451F">
        <w:rPr>
          <w:rFonts w:ascii="Times New Roman" w:hAnsi="Times New Roman" w:cs="Times New Roman"/>
          <w:sz w:val="24"/>
          <w:szCs w:val="24"/>
        </w:rPr>
        <w:t xml:space="preserve">Exclusions: </w:t>
      </w:r>
      <w:r w:rsidR="00311939" w:rsidRPr="0008451F">
        <w:rPr>
          <w:rFonts w:ascii="Times New Roman" w:hAnsi="Times New Roman" w:cs="Times New Roman"/>
          <w:sz w:val="24"/>
          <w:szCs w:val="24"/>
        </w:rPr>
        <w:t xml:space="preserve"> </w:t>
      </w:r>
    </w:p>
    <w:p w14:paraId="7C902028" w14:textId="77777777" w:rsidR="00DD34B3" w:rsidRPr="0008451F" w:rsidRDefault="00311939" w:rsidP="00DC0AD8">
      <w:pPr>
        <w:pStyle w:val="ListParagraph"/>
        <w:numPr>
          <w:ilvl w:val="0"/>
          <w:numId w:val="6"/>
        </w:numPr>
        <w:jc w:val="left"/>
        <w:rPr>
          <w:rFonts w:ascii="Times New Roman" w:hAnsi="Times New Roman" w:cs="Times New Roman"/>
          <w:sz w:val="24"/>
          <w:szCs w:val="24"/>
        </w:rPr>
      </w:pPr>
      <w:r w:rsidRPr="0008451F">
        <w:rPr>
          <w:rFonts w:ascii="Times New Roman" w:hAnsi="Times New Roman" w:cs="Times New Roman"/>
          <w:sz w:val="24"/>
          <w:szCs w:val="24"/>
        </w:rPr>
        <w:t>Women with a pr</w:t>
      </w:r>
      <w:r w:rsidR="00DC0AD8" w:rsidRPr="0008451F">
        <w:rPr>
          <w:rFonts w:ascii="Times New Roman" w:hAnsi="Times New Roman" w:cs="Times New Roman"/>
          <w:sz w:val="24"/>
          <w:szCs w:val="24"/>
        </w:rPr>
        <w:t>evious history of breast cancer</w:t>
      </w:r>
    </w:p>
    <w:p w14:paraId="402E9B23" w14:textId="77777777" w:rsidR="00DC0AD8" w:rsidRPr="0008451F" w:rsidRDefault="00DC0AD8" w:rsidP="00DC0AD8">
      <w:pPr>
        <w:pStyle w:val="ListParagraph"/>
        <w:numPr>
          <w:ilvl w:val="0"/>
          <w:numId w:val="6"/>
        </w:numPr>
        <w:jc w:val="left"/>
        <w:rPr>
          <w:rFonts w:ascii="Times New Roman" w:hAnsi="Times New Roman" w:cs="Times New Roman"/>
          <w:sz w:val="24"/>
          <w:szCs w:val="24"/>
        </w:rPr>
      </w:pPr>
      <w:r w:rsidRPr="0008451F">
        <w:rPr>
          <w:rFonts w:ascii="Times New Roman" w:hAnsi="Times New Roman" w:cs="Times New Roman"/>
          <w:sz w:val="24"/>
          <w:szCs w:val="24"/>
        </w:rPr>
        <w:lastRenderedPageBreak/>
        <w:t>Diagnostic mammograms</w:t>
      </w:r>
    </w:p>
    <w:p w14:paraId="57026A40" w14:textId="77777777" w:rsidR="00DD34B3" w:rsidRPr="0008451F" w:rsidRDefault="00DD34B3" w:rsidP="00DD34B3">
      <w:pPr>
        <w:jc w:val="left"/>
        <w:rPr>
          <w:rFonts w:ascii="Times New Roman" w:hAnsi="Times New Roman" w:cs="Times New Roman"/>
          <w:sz w:val="24"/>
          <w:szCs w:val="24"/>
        </w:rPr>
      </w:pPr>
      <w:r w:rsidRPr="0008451F">
        <w:rPr>
          <w:rFonts w:ascii="Times New Roman" w:hAnsi="Times New Roman" w:cs="Times New Roman"/>
          <w:b/>
          <w:sz w:val="24"/>
          <w:szCs w:val="24"/>
          <w:u w:val="single"/>
        </w:rPr>
        <w:t xml:space="preserve">Tobacco </w:t>
      </w:r>
      <w:r w:rsidR="00DE5382" w:rsidRPr="0008451F">
        <w:rPr>
          <w:rFonts w:ascii="Times New Roman" w:hAnsi="Times New Roman" w:cs="Times New Roman"/>
          <w:b/>
          <w:sz w:val="24"/>
          <w:szCs w:val="24"/>
          <w:u w:val="single"/>
        </w:rPr>
        <w:t xml:space="preserve">Screening and </w:t>
      </w:r>
      <w:r w:rsidRPr="0008451F">
        <w:rPr>
          <w:rFonts w:ascii="Times New Roman" w:hAnsi="Times New Roman" w:cs="Times New Roman"/>
          <w:b/>
          <w:sz w:val="24"/>
          <w:szCs w:val="24"/>
          <w:u w:val="single"/>
        </w:rPr>
        <w:t>Cessation</w:t>
      </w:r>
    </w:p>
    <w:p w14:paraId="12B2FF9B" w14:textId="77777777" w:rsidR="00DD34B3" w:rsidRPr="0008451F" w:rsidRDefault="007D32F1" w:rsidP="007D32F1">
      <w:pPr>
        <w:pStyle w:val="NormalWeb"/>
        <w:numPr>
          <w:ilvl w:val="0"/>
          <w:numId w:val="5"/>
        </w:numPr>
        <w:shd w:val="clear" w:color="auto" w:fill="FFFFFF"/>
        <w:rPr>
          <w:lang w:val="en"/>
        </w:rPr>
      </w:pPr>
      <w:r w:rsidRPr="0008451F">
        <w:rPr>
          <w:b/>
          <w:bCs/>
          <w:lang w:val="en"/>
        </w:rPr>
        <w:t xml:space="preserve"> </w:t>
      </w:r>
      <w:r w:rsidR="00DE5382" w:rsidRPr="0008451F">
        <w:rPr>
          <w:b/>
          <w:bCs/>
          <w:lang w:val="en"/>
        </w:rPr>
        <w:t>Percentage of patients age 13</w:t>
      </w:r>
      <w:r w:rsidR="00DD34B3" w:rsidRPr="0008451F">
        <w:rPr>
          <w:b/>
          <w:bCs/>
          <w:lang w:val="en"/>
        </w:rPr>
        <w:t xml:space="preserve"> years and older who were screened for tobacco use</w:t>
      </w:r>
      <w:r w:rsidR="00046471" w:rsidRPr="0008451F">
        <w:rPr>
          <w:b/>
          <w:bCs/>
          <w:lang w:val="en"/>
        </w:rPr>
        <w:t>*</w:t>
      </w:r>
      <w:r w:rsidR="00DD34B3" w:rsidRPr="0008451F">
        <w:rPr>
          <w:b/>
          <w:bCs/>
          <w:lang w:val="en"/>
        </w:rPr>
        <w:t xml:space="preserve"> at least once during the measurement year </w:t>
      </w:r>
      <w:r w:rsidR="00046471" w:rsidRPr="0008451F">
        <w:rPr>
          <w:b/>
          <w:bCs/>
          <w:lang w:val="en"/>
        </w:rPr>
        <w:t xml:space="preserve">or prior year </w:t>
      </w:r>
    </w:p>
    <w:p w14:paraId="7804956D" w14:textId="77777777" w:rsidR="00DD34B3" w:rsidRPr="0008451F" w:rsidRDefault="00DD34B3" w:rsidP="00DD34B3">
      <w:pPr>
        <w:pStyle w:val="NormalWeb"/>
        <w:shd w:val="clear" w:color="auto" w:fill="FFFFFF"/>
        <w:rPr>
          <w:lang w:val="en"/>
        </w:rPr>
      </w:pPr>
      <w:r w:rsidRPr="0008451F">
        <w:rPr>
          <w:b/>
          <w:bCs/>
          <w:lang w:val="en"/>
        </w:rPr>
        <w:t>Numerator</w:t>
      </w:r>
      <w:r w:rsidRPr="0008451F">
        <w:rPr>
          <w:lang w:val="en"/>
        </w:rPr>
        <w:t>: Number of patients age 1</w:t>
      </w:r>
      <w:r w:rsidR="00DE5382" w:rsidRPr="0008451F">
        <w:rPr>
          <w:lang w:val="en"/>
        </w:rPr>
        <w:t>3</w:t>
      </w:r>
      <w:r w:rsidRPr="0008451F">
        <w:rPr>
          <w:lang w:val="en"/>
        </w:rPr>
        <w:t xml:space="preserve"> years and older who were screened for tobacco use one or more times in the</w:t>
      </w:r>
      <w:r w:rsidR="00046471" w:rsidRPr="0008451F">
        <w:rPr>
          <w:lang w:val="en"/>
        </w:rPr>
        <w:t xml:space="preserve"> measurement year or prior year.</w:t>
      </w:r>
    </w:p>
    <w:p w14:paraId="62E578AC" w14:textId="77777777" w:rsidR="00DD34B3" w:rsidRPr="0008451F" w:rsidRDefault="00DD34B3" w:rsidP="00DD34B3">
      <w:pPr>
        <w:pStyle w:val="NormalWeb"/>
        <w:shd w:val="clear" w:color="auto" w:fill="FFFFFF"/>
        <w:rPr>
          <w:lang w:val="en"/>
        </w:rPr>
      </w:pPr>
      <w:r w:rsidRPr="0008451F">
        <w:rPr>
          <w:b/>
          <w:bCs/>
          <w:lang w:val="en"/>
        </w:rPr>
        <w:t>Denominator</w:t>
      </w:r>
      <w:r w:rsidR="00DE5382" w:rsidRPr="0008451F">
        <w:rPr>
          <w:lang w:val="en"/>
        </w:rPr>
        <w:t>: Number of patients age 13</w:t>
      </w:r>
      <w:r w:rsidRPr="0008451F">
        <w:rPr>
          <w:lang w:val="en"/>
        </w:rPr>
        <w:t xml:space="preserve"> years a</w:t>
      </w:r>
      <w:r w:rsidR="00DC0AD8" w:rsidRPr="0008451F">
        <w:rPr>
          <w:lang w:val="en"/>
        </w:rPr>
        <w:t xml:space="preserve">nd older </w:t>
      </w:r>
      <w:r w:rsidR="0006150B" w:rsidRPr="0008451F">
        <w:rPr>
          <w:lang w:val="en"/>
        </w:rPr>
        <w:t xml:space="preserve">who </w:t>
      </w:r>
      <w:r w:rsidR="00DE5382" w:rsidRPr="0008451F">
        <w:rPr>
          <w:lang w:val="en"/>
        </w:rPr>
        <w:t xml:space="preserve">had at least </w:t>
      </w:r>
      <w:r w:rsidR="00783923" w:rsidRPr="0008451F">
        <w:rPr>
          <w:lang w:val="en"/>
        </w:rPr>
        <w:t>two medical visits during the measurement year.</w:t>
      </w:r>
    </w:p>
    <w:p w14:paraId="185344EA" w14:textId="77777777" w:rsidR="007D32F1" w:rsidRPr="0008451F" w:rsidRDefault="00046471" w:rsidP="00046471">
      <w:pPr>
        <w:pStyle w:val="ListParagraph"/>
        <w:numPr>
          <w:ilvl w:val="0"/>
          <w:numId w:val="5"/>
        </w:numPr>
        <w:jc w:val="left"/>
        <w:rPr>
          <w:rFonts w:ascii="Times New Roman" w:hAnsi="Times New Roman" w:cs="Times New Roman"/>
          <w:b/>
          <w:sz w:val="24"/>
          <w:szCs w:val="24"/>
        </w:rPr>
      </w:pPr>
      <w:r w:rsidRPr="0008451F">
        <w:rPr>
          <w:rFonts w:ascii="Times New Roman" w:hAnsi="Times New Roman" w:cs="Times New Roman"/>
          <w:b/>
          <w:sz w:val="24"/>
          <w:szCs w:val="24"/>
        </w:rPr>
        <w:t>Percentage of patients age 13 years and older who screened positive for tobacco use and received counseling intervention and/or pharmacotherapy.</w:t>
      </w:r>
    </w:p>
    <w:p w14:paraId="4D878419" w14:textId="1A27F20B" w:rsidR="00046471" w:rsidRPr="0008451F" w:rsidRDefault="00046471" w:rsidP="00046471">
      <w:pPr>
        <w:pStyle w:val="NormalWeb"/>
        <w:shd w:val="clear" w:color="auto" w:fill="FFFFFF"/>
        <w:rPr>
          <w:lang w:val="en"/>
        </w:rPr>
      </w:pPr>
      <w:r w:rsidRPr="0008451F">
        <w:rPr>
          <w:b/>
          <w:bCs/>
          <w:lang w:val="en"/>
        </w:rPr>
        <w:t>Numerator</w:t>
      </w:r>
      <w:r w:rsidRPr="0008451F">
        <w:rPr>
          <w:lang w:val="en"/>
        </w:rPr>
        <w:t>: Number of patients age 13 years and older who were screened for tobacco use one or more times in the measurement year or prior year and received tobacco cessation counseling intervention and/or pharmacotherapy if identified as a tobacco user</w:t>
      </w:r>
      <w:r w:rsidR="009729D7">
        <w:rPr>
          <w:lang w:val="en"/>
        </w:rPr>
        <w:t>.</w:t>
      </w:r>
    </w:p>
    <w:p w14:paraId="62E38AAC" w14:textId="2716592C" w:rsidR="00046471" w:rsidRPr="0008451F" w:rsidRDefault="00046471" w:rsidP="00046471">
      <w:pPr>
        <w:pStyle w:val="NormalWeb"/>
        <w:shd w:val="clear" w:color="auto" w:fill="FFFFFF"/>
        <w:rPr>
          <w:lang w:val="en"/>
        </w:rPr>
      </w:pPr>
      <w:r w:rsidRPr="0008451F">
        <w:rPr>
          <w:b/>
          <w:bCs/>
          <w:lang w:val="en"/>
        </w:rPr>
        <w:t>Denominator</w:t>
      </w:r>
      <w:r w:rsidR="0006150B" w:rsidRPr="0008451F">
        <w:rPr>
          <w:lang w:val="en"/>
        </w:rPr>
        <w:t>: N</w:t>
      </w:r>
      <w:proofErr w:type="spellStart"/>
      <w:r w:rsidR="0006150B" w:rsidRPr="0008451F">
        <w:t>umber</w:t>
      </w:r>
      <w:proofErr w:type="spellEnd"/>
      <w:r w:rsidR="009729D7">
        <w:t xml:space="preserve"> </w:t>
      </w:r>
      <w:r w:rsidR="0006150B" w:rsidRPr="0008451F">
        <w:t>of patients 13 years and older who were screened positive for tobacco use one or more times in the measurement year or prior year.</w:t>
      </w:r>
    </w:p>
    <w:p w14:paraId="4E4BCF49" w14:textId="77777777" w:rsidR="00046471" w:rsidRPr="0008451F" w:rsidRDefault="00046471" w:rsidP="00046471">
      <w:pPr>
        <w:pStyle w:val="NormalWeb"/>
        <w:shd w:val="clear" w:color="auto" w:fill="FFFFFF"/>
        <w:rPr>
          <w:lang w:val="en"/>
        </w:rPr>
      </w:pPr>
      <w:r w:rsidRPr="0008451F">
        <w:t>*Tobacco use for this measure includes any tobacco product, including vapor and, more than 0 use within the past 24 months.</w:t>
      </w:r>
    </w:p>
    <w:p w14:paraId="4D5C0573" w14:textId="77777777" w:rsidR="00046471" w:rsidRPr="0008451F" w:rsidRDefault="00046471" w:rsidP="00046471">
      <w:pPr>
        <w:jc w:val="left"/>
        <w:rPr>
          <w:rFonts w:ascii="Times New Roman" w:hAnsi="Times New Roman" w:cs="Times New Roman"/>
          <w:sz w:val="24"/>
          <w:szCs w:val="24"/>
        </w:rPr>
      </w:pPr>
      <w:r w:rsidRPr="0008451F">
        <w:rPr>
          <w:rFonts w:ascii="Times New Roman" w:hAnsi="Times New Roman" w:cs="Times New Roman"/>
          <w:sz w:val="24"/>
          <w:szCs w:val="24"/>
        </w:rPr>
        <w:t>Exclusions:  Non-users</w:t>
      </w:r>
    </w:p>
    <w:p w14:paraId="5E49F620" w14:textId="77777777" w:rsidR="00DD34B3" w:rsidRPr="0008451F" w:rsidRDefault="00DD34B3" w:rsidP="00DD34B3">
      <w:pPr>
        <w:jc w:val="left"/>
        <w:rPr>
          <w:rFonts w:ascii="Times New Roman" w:hAnsi="Times New Roman" w:cs="Times New Roman"/>
          <w:b/>
          <w:sz w:val="24"/>
          <w:szCs w:val="24"/>
          <w:u w:val="single"/>
        </w:rPr>
      </w:pPr>
      <w:r w:rsidRPr="0008451F">
        <w:rPr>
          <w:rFonts w:ascii="Times New Roman" w:hAnsi="Times New Roman" w:cs="Times New Roman"/>
          <w:b/>
          <w:sz w:val="24"/>
          <w:szCs w:val="24"/>
          <w:u w:val="single"/>
        </w:rPr>
        <w:t>Hypertension</w:t>
      </w:r>
      <w:r w:rsidR="000A0D75" w:rsidRPr="0008451F">
        <w:rPr>
          <w:rFonts w:ascii="Times New Roman" w:hAnsi="Times New Roman" w:cs="Times New Roman"/>
          <w:b/>
          <w:sz w:val="24"/>
          <w:szCs w:val="24"/>
          <w:u w:val="single"/>
        </w:rPr>
        <w:t xml:space="preserve"> Screening</w:t>
      </w:r>
      <w:r w:rsidR="00046471" w:rsidRPr="0008451F">
        <w:rPr>
          <w:rFonts w:ascii="Times New Roman" w:hAnsi="Times New Roman" w:cs="Times New Roman"/>
          <w:b/>
          <w:sz w:val="24"/>
          <w:szCs w:val="24"/>
          <w:u w:val="single"/>
        </w:rPr>
        <w:t xml:space="preserve"> and Management</w:t>
      </w:r>
    </w:p>
    <w:p w14:paraId="5674124C" w14:textId="77777777" w:rsidR="00DD34B3" w:rsidRPr="0008451F" w:rsidRDefault="00DD34B3" w:rsidP="00DD34B3">
      <w:pPr>
        <w:pStyle w:val="NormalWeb"/>
        <w:shd w:val="clear" w:color="auto" w:fill="FFFFFF"/>
        <w:rPr>
          <w:lang w:val="en"/>
        </w:rPr>
      </w:pPr>
      <w:r w:rsidRPr="0008451F">
        <w:rPr>
          <w:b/>
          <w:bCs/>
          <w:lang w:val="en"/>
        </w:rPr>
        <w:t>Perc</w:t>
      </w:r>
      <w:r w:rsidR="00046471" w:rsidRPr="0008451F">
        <w:rPr>
          <w:b/>
          <w:bCs/>
          <w:lang w:val="en"/>
        </w:rPr>
        <w:t>entage of patients 18 to 60</w:t>
      </w:r>
      <w:r w:rsidRPr="0008451F">
        <w:rPr>
          <w:b/>
          <w:bCs/>
          <w:lang w:val="en"/>
        </w:rPr>
        <w:t xml:space="preserve"> years of age with diagnosed hypertension (HTN) whose blood pressure (BP) was less than 140/90 at the time of the last reading</w:t>
      </w:r>
    </w:p>
    <w:p w14:paraId="3DEEE44C" w14:textId="77777777" w:rsidR="00DD34B3" w:rsidRPr="0008451F" w:rsidRDefault="00DD34B3" w:rsidP="00DD34B3">
      <w:pPr>
        <w:pStyle w:val="NormalWeb"/>
        <w:shd w:val="clear" w:color="auto" w:fill="FFFFFF"/>
        <w:rPr>
          <w:lang w:val="en"/>
        </w:rPr>
      </w:pPr>
      <w:r w:rsidRPr="0008451F">
        <w:rPr>
          <w:b/>
          <w:bCs/>
          <w:lang w:val="en"/>
        </w:rPr>
        <w:t>Numerator</w:t>
      </w:r>
      <w:r w:rsidRPr="0008451F">
        <w:rPr>
          <w:lang w:val="en"/>
        </w:rPr>
        <w:t xml:space="preserve">: Number of patients </w:t>
      </w:r>
      <w:r w:rsidR="006735AE" w:rsidRPr="0008451F">
        <w:rPr>
          <w:lang w:val="en"/>
        </w:rPr>
        <w:t>ages</w:t>
      </w:r>
      <w:r w:rsidR="00046471" w:rsidRPr="0008451F">
        <w:rPr>
          <w:lang w:val="en"/>
        </w:rPr>
        <w:t xml:space="preserve"> 18 to 60 </w:t>
      </w:r>
      <w:r w:rsidRPr="0008451F">
        <w:rPr>
          <w:lang w:val="en"/>
        </w:rPr>
        <w:t>in the denominator whose last systolic blood pressure measurement was less than 140 mm Hg and whose diastolic blood pressure was less than 90 mm Hg</w:t>
      </w:r>
    </w:p>
    <w:p w14:paraId="10B906A9" w14:textId="77777777" w:rsidR="00DD34B3" w:rsidRPr="0008451F" w:rsidRDefault="00DD34B3" w:rsidP="00DD34B3">
      <w:pPr>
        <w:pStyle w:val="NormalWeb"/>
        <w:shd w:val="clear" w:color="auto" w:fill="FFFFFF"/>
        <w:rPr>
          <w:lang w:val="en"/>
        </w:rPr>
      </w:pPr>
      <w:r w:rsidRPr="0008451F">
        <w:rPr>
          <w:b/>
          <w:bCs/>
          <w:lang w:val="en"/>
        </w:rPr>
        <w:t>Denominator</w:t>
      </w:r>
      <w:r w:rsidR="00046471" w:rsidRPr="0008451F">
        <w:rPr>
          <w:lang w:val="en"/>
        </w:rPr>
        <w:t>: All patients 18 to 60</w:t>
      </w:r>
      <w:r w:rsidRPr="0008451F">
        <w:rPr>
          <w:lang w:val="en"/>
        </w:rPr>
        <w:t xml:space="preserve"> years of age as of December 31 of the measurement year with a diagnosis of hypertension (HTN)</w:t>
      </w:r>
      <w:r w:rsidR="00463B88" w:rsidRPr="0008451F">
        <w:rPr>
          <w:lang w:val="en"/>
        </w:rPr>
        <w:t>,</w:t>
      </w:r>
      <w:r w:rsidRPr="0008451F">
        <w:rPr>
          <w:lang w:val="en"/>
        </w:rPr>
        <w:t xml:space="preserve"> </w:t>
      </w:r>
      <w:r w:rsidR="00DC0AD8" w:rsidRPr="0008451F">
        <w:rPr>
          <w:lang w:val="en"/>
        </w:rPr>
        <w:t xml:space="preserve">AND who were </w:t>
      </w:r>
      <w:r w:rsidRPr="0008451F">
        <w:rPr>
          <w:lang w:val="en"/>
        </w:rPr>
        <w:t xml:space="preserve">diagnosed by the health center as hypertensive at some point before June 30 of the measurement year AND who have been seen for medical visits at least twice during the reporting </w:t>
      </w:r>
      <w:r w:rsidR="006735AE" w:rsidRPr="0008451F">
        <w:rPr>
          <w:lang w:val="en"/>
        </w:rPr>
        <w:t>year.</w:t>
      </w:r>
    </w:p>
    <w:p w14:paraId="25414D13" w14:textId="77777777" w:rsidR="006735AE" w:rsidRPr="0008451F" w:rsidRDefault="00201D7E" w:rsidP="00DD34B3">
      <w:pPr>
        <w:pStyle w:val="NormalWeb"/>
        <w:shd w:val="clear" w:color="auto" w:fill="FFFFFF"/>
        <w:rPr>
          <w:lang w:val="en"/>
        </w:rPr>
      </w:pPr>
      <w:r w:rsidRPr="0008451F">
        <w:rPr>
          <w:lang w:val="en"/>
        </w:rPr>
        <w:t xml:space="preserve">Exclusions: </w:t>
      </w:r>
    </w:p>
    <w:p w14:paraId="553696E9" w14:textId="77777777" w:rsidR="006735AE" w:rsidRPr="0008451F" w:rsidRDefault="006735AE" w:rsidP="006735AE">
      <w:pPr>
        <w:pStyle w:val="NormalWeb"/>
        <w:numPr>
          <w:ilvl w:val="0"/>
          <w:numId w:val="2"/>
        </w:numPr>
        <w:shd w:val="clear" w:color="auto" w:fill="FFFFFF"/>
        <w:contextualSpacing/>
        <w:rPr>
          <w:lang w:val="en"/>
        </w:rPr>
      </w:pPr>
      <w:r w:rsidRPr="0008451F">
        <w:rPr>
          <w:lang w:val="en"/>
        </w:rPr>
        <w:t>Pregnant patients</w:t>
      </w:r>
    </w:p>
    <w:p w14:paraId="2A484DA6" w14:textId="77777777" w:rsidR="000A0D75" w:rsidRPr="0008451F" w:rsidRDefault="006735AE" w:rsidP="006735AE">
      <w:pPr>
        <w:pStyle w:val="NormalWeb"/>
        <w:numPr>
          <w:ilvl w:val="0"/>
          <w:numId w:val="2"/>
        </w:numPr>
        <w:shd w:val="clear" w:color="auto" w:fill="FFFFFF"/>
        <w:contextualSpacing/>
        <w:rPr>
          <w:lang w:val="en"/>
        </w:rPr>
      </w:pPr>
      <w:r w:rsidRPr="0008451F">
        <w:rPr>
          <w:lang w:val="en"/>
        </w:rPr>
        <w:t>P</w:t>
      </w:r>
      <w:r w:rsidR="00201D7E" w:rsidRPr="0008451F">
        <w:rPr>
          <w:lang w:val="en"/>
        </w:rPr>
        <w:t>atients with end state renal disease (ESRD)</w:t>
      </w:r>
    </w:p>
    <w:p w14:paraId="32D7AD73" w14:textId="77777777" w:rsidR="006735AE" w:rsidRPr="0008451F" w:rsidRDefault="006735AE" w:rsidP="006735AE">
      <w:pPr>
        <w:pStyle w:val="NormalWeb"/>
        <w:shd w:val="clear" w:color="auto" w:fill="FFFFFF"/>
        <w:ind w:left="720"/>
        <w:contextualSpacing/>
        <w:rPr>
          <w:lang w:val="en"/>
        </w:rPr>
      </w:pPr>
    </w:p>
    <w:p w14:paraId="1725EDF2" w14:textId="77777777" w:rsidR="000A0D75" w:rsidRPr="0008451F" w:rsidRDefault="000A0D75" w:rsidP="00DD34B3">
      <w:pPr>
        <w:pStyle w:val="NormalWeb"/>
        <w:shd w:val="clear" w:color="auto" w:fill="FFFFFF"/>
        <w:rPr>
          <w:lang w:val="en"/>
        </w:rPr>
      </w:pPr>
      <w:r w:rsidRPr="0008451F">
        <w:rPr>
          <w:b/>
          <w:u w:val="single"/>
          <w:lang w:val="en"/>
        </w:rPr>
        <w:lastRenderedPageBreak/>
        <w:t>Influenza Vaccination</w:t>
      </w:r>
    </w:p>
    <w:p w14:paraId="2526163C" w14:textId="77777777" w:rsidR="000A0D75" w:rsidRPr="0008451F" w:rsidRDefault="00C821CF" w:rsidP="00DD34B3">
      <w:pPr>
        <w:pStyle w:val="NormalWeb"/>
        <w:shd w:val="clear" w:color="auto" w:fill="FFFFFF"/>
        <w:rPr>
          <w:b/>
          <w:lang w:val="en"/>
        </w:rPr>
      </w:pPr>
      <w:r w:rsidRPr="0008451F">
        <w:rPr>
          <w:b/>
          <w:lang w:val="en"/>
        </w:rPr>
        <w:t xml:space="preserve">Percentage of individuals age 6 months and older </w:t>
      </w:r>
      <w:r w:rsidR="00046471" w:rsidRPr="0008451F">
        <w:rPr>
          <w:b/>
          <w:lang w:val="en"/>
        </w:rPr>
        <w:t xml:space="preserve">who are a documented patient with an open </w:t>
      </w:r>
      <w:r w:rsidR="00463B88" w:rsidRPr="0008451F">
        <w:rPr>
          <w:b/>
          <w:lang w:val="en"/>
        </w:rPr>
        <w:t xml:space="preserve">medical </w:t>
      </w:r>
      <w:r w:rsidR="00046471" w:rsidRPr="0008451F">
        <w:rPr>
          <w:b/>
          <w:lang w:val="en"/>
        </w:rPr>
        <w:t xml:space="preserve">record </w:t>
      </w:r>
      <w:r w:rsidRPr="0008451F">
        <w:rPr>
          <w:b/>
          <w:lang w:val="en"/>
        </w:rPr>
        <w:t>who have received annual influenza vaccination during the measurement year.</w:t>
      </w:r>
    </w:p>
    <w:p w14:paraId="412FD3EA" w14:textId="77777777" w:rsidR="00C821CF" w:rsidRPr="0008451F" w:rsidRDefault="00C821CF" w:rsidP="00DD34B3">
      <w:pPr>
        <w:pStyle w:val="NormalWeb"/>
        <w:shd w:val="clear" w:color="auto" w:fill="FFFFFF"/>
        <w:rPr>
          <w:lang w:val="en"/>
        </w:rPr>
      </w:pPr>
      <w:r w:rsidRPr="0008451F">
        <w:rPr>
          <w:b/>
          <w:lang w:val="en"/>
        </w:rPr>
        <w:t>Numerator</w:t>
      </w:r>
      <w:r w:rsidRPr="0008451F">
        <w:rPr>
          <w:lang w:val="en"/>
        </w:rPr>
        <w:t>:  Number of individuals age 6 months and old</w:t>
      </w:r>
      <w:r w:rsidR="006735AE" w:rsidRPr="0008451F">
        <w:rPr>
          <w:lang w:val="en"/>
        </w:rPr>
        <w:t xml:space="preserve">er </w:t>
      </w:r>
      <w:r w:rsidR="00046471" w:rsidRPr="0008451F">
        <w:rPr>
          <w:lang w:val="en"/>
        </w:rPr>
        <w:t xml:space="preserve">who are a documented patient with an open </w:t>
      </w:r>
      <w:r w:rsidR="00463B88" w:rsidRPr="0008451F">
        <w:rPr>
          <w:lang w:val="en"/>
        </w:rPr>
        <w:t xml:space="preserve">medical </w:t>
      </w:r>
      <w:r w:rsidR="00046471" w:rsidRPr="0008451F">
        <w:rPr>
          <w:lang w:val="en"/>
        </w:rPr>
        <w:t xml:space="preserve">record </w:t>
      </w:r>
      <w:r w:rsidR="006735AE" w:rsidRPr="0008451F">
        <w:rPr>
          <w:lang w:val="en"/>
        </w:rPr>
        <w:t>who</w:t>
      </w:r>
      <w:r w:rsidRPr="0008451F">
        <w:rPr>
          <w:lang w:val="en"/>
        </w:rPr>
        <w:t xml:space="preserve"> received an influenza vaccination during the measurement year.</w:t>
      </w:r>
    </w:p>
    <w:p w14:paraId="62E182DC" w14:textId="77777777" w:rsidR="00DC0AD8" w:rsidRPr="0008451F" w:rsidRDefault="00C821CF" w:rsidP="00DC0AD8">
      <w:pPr>
        <w:pStyle w:val="NormalWeb"/>
        <w:shd w:val="clear" w:color="auto" w:fill="FFFFFF"/>
        <w:contextualSpacing/>
        <w:rPr>
          <w:lang w:val="en"/>
        </w:rPr>
      </w:pPr>
      <w:r w:rsidRPr="0008451F">
        <w:rPr>
          <w:b/>
          <w:lang w:val="en"/>
        </w:rPr>
        <w:t>Denominator</w:t>
      </w:r>
      <w:r w:rsidRPr="0008451F">
        <w:rPr>
          <w:lang w:val="en"/>
        </w:rPr>
        <w:t>: All individuals age 6 months and</w:t>
      </w:r>
      <w:r w:rsidR="00046471" w:rsidRPr="0008451F">
        <w:rPr>
          <w:lang w:val="en"/>
        </w:rPr>
        <w:t xml:space="preserve"> older</w:t>
      </w:r>
      <w:r w:rsidR="00463B88" w:rsidRPr="0008451F">
        <w:rPr>
          <w:lang w:val="en"/>
        </w:rPr>
        <w:t xml:space="preserve"> who are a documented patient with an open medical record</w:t>
      </w:r>
      <w:r w:rsidR="00046471" w:rsidRPr="0008451F">
        <w:rPr>
          <w:lang w:val="en"/>
        </w:rPr>
        <w:t xml:space="preserve"> who have had at least two</w:t>
      </w:r>
      <w:r w:rsidRPr="0008451F">
        <w:rPr>
          <w:lang w:val="en"/>
        </w:rPr>
        <w:t xml:space="preserve"> visit</w:t>
      </w:r>
      <w:r w:rsidR="00046471" w:rsidRPr="0008451F">
        <w:rPr>
          <w:lang w:val="en"/>
        </w:rPr>
        <w:t>s</w:t>
      </w:r>
      <w:r w:rsidRPr="0008451F">
        <w:rPr>
          <w:lang w:val="en"/>
        </w:rPr>
        <w:t xml:space="preserve"> to the clinic during the measurement year.</w:t>
      </w:r>
      <w:r w:rsidR="00DC0AD8" w:rsidRPr="0008451F">
        <w:rPr>
          <w:lang w:val="en"/>
        </w:rPr>
        <w:t xml:space="preserve">  Note:  Do not include patients who are seeking dental care only.  </w:t>
      </w:r>
    </w:p>
    <w:p w14:paraId="00661D60" w14:textId="77777777" w:rsidR="00DC0AD8" w:rsidRPr="0008451F" w:rsidRDefault="00DC0AD8" w:rsidP="00DC0AD8">
      <w:pPr>
        <w:pStyle w:val="NormalWeb"/>
        <w:shd w:val="clear" w:color="auto" w:fill="FFFFFF"/>
        <w:ind w:left="360"/>
        <w:contextualSpacing/>
        <w:rPr>
          <w:lang w:val="en"/>
        </w:rPr>
      </w:pPr>
    </w:p>
    <w:p w14:paraId="68818B1E" w14:textId="77777777" w:rsidR="006735AE" w:rsidRPr="0008451F" w:rsidRDefault="00C821CF" w:rsidP="00DD34B3">
      <w:pPr>
        <w:pStyle w:val="NormalWeb"/>
        <w:shd w:val="clear" w:color="auto" w:fill="FFFFFF"/>
        <w:rPr>
          <w:lang w:val="en"/>
        </w:rPr>
      </w:pPr>
      <w:r w:rsidRPr="0008451F">
        <w:rPr>
          <w:lang w:val="en"/>
        </w:rPr>
        <w:t xml:space="preserve">Exclusions: </w:t>
      </w:r>
    </w:p>
    <w:p w14:paraId="4CC2F449" w14:textId="77777777" w:rsidR="006735AE" w:rsidRPr="0008451F" w:rsidRDefault="003941D1" w:rsidP="006735AE">
      <w:pPr>
        <w:pStyle w:val="NormalWeb"/>
        <w:numPr>
          <w:ilvl w:val="0"/>
          <w:numId w:val="3"/>
        </w:numPr>
        <w:shd w:val="clear" w:color="auto" w:fill="FFFFFF"/>
        <w:contextualSpacing/>
        <w:rPr>
          <w:lang w:val="en"/>
        </w:rPr>
      </w:pPr>
      <w:r w:rsidRPr="0008451F">
        <w:rPr>
          <w:lang w:val="en"/>
        </w:rPr>
        <w:t>Indivi</w:t>
      </w:r>
      <w:r w:rsidR="006735AE" w:rsidRPr="0008451F">
        <w:rPr>
          <w:lang w:val="en"/>
        </w:rPr>
        <w:t>duals with contraindications</w:t>
      </w:r>
    </w:p>
    <w:p w14:paraId="6E227C71" w14:textId="77777777" w:rsidR="00C821CF" w:rsidRPr="0008451F" w:rsidRDefault="006735AE" w:rsidP="006735AE">
      <w:pPr>
        <w:pStyle w:val="NormalWeb"/>
        <w:numPr>
          <w:ilvl w:val="0"/>
          <w:numId w:val="3"/>
        </w:numPr>
        <w:shd w:val="clear" w:color="auto" w:fill="FFFFFF"/>
        <w:contextualSpacing/>
        <w:rPr>
          <w:lang w:val="en"/>
        </w:rPr>
      </w:pPr>
      <w:r w:rsidRPr="0008451F">
        <w:rPr>
          <w:lang w:val="en"/>
        </w:rPr>
        <w:t>C</w:t>
      </w:r>
      <w:r w:rsidR="003941D1" w:rsidRPr="0008451F">
        <w:rPr>
          <w:lang w:val="en"/>
        </w:rPr>
        <w:t>hi</w:t>
      </w:r>
      <w:r w:rsidR="00046471" w:rsidRPr="0008451F">
        <w:rPr>
          <w:lang w:val="en"/>
        </w:rPr>
        <w:t>ldren less than 6 months of age</w:t>
      </w:r>
    </w:p>
    <w:p w14:paraId="3C0CF8C8" w14:textId="77777777" w:rsidR="00046471" w:rsidRPr="0008451F" w:rsidRDefault="00046471" w:rsidP="006735AE">
      <w:pPr>
        <w:pStyle w:val="NormalWeb"/>
        <w:numPr>
          <w:ilvl w:val="0"/>
          <w:numId w:val="3"/>
        </w:numPr>
        <w:shd w:val="clear" w:color="auto" w:fill="FFFFFF"/>
        <w:contextualSpacing/>
        <w:rPr>
          <w:lang w:val="en"/>
        </w:rPr>
      </w:pPr>
      <w:r w:rsidRPr="0008451F">
        <w:rPr>
          <w:lang w:val="en"/>
        </w:rPr>
        <w:t xml:space="preserve">Patients without a documented open record </w:t>
      </w:r>
    </w:p>
    <w:p w14:paraId="58B0E2B4" w14:textId="77777777" w:rsidR="00DC0AD8" w:rsidRPr="0008451F" w:rsidRDefault="00DC0AD8" w:rsidP="00DC0AD8">
      <w:pPr>
        <w:pStyle w:val="NormalWeb"/>
        <w:shd w:val="clear" w:color="auto" w:fill="FFFFFF"/>
        <w:contextualSpacing/>
        <w:rPr>
          <w:lang w:val="en"/>
        </w:rPr>
      </w:pPr>
    </w:p>
    <w:p w14:paraId="14F5E943" w14:textId="77777777" w:rsidR="00DC0AD8" w:rsidRPr="0008451F" w:rsidRDefault="00DC0AD8" w:rsidP="00DC0AD8">
      <w:pPr>
        <w:pStyle w:val="NormalWeb"/>
        <w:shd w:val="clear" w:color="auto" w:fill="FFFFFF"/>
        <w:contextualSpacing/>
        <w:rPr>
          <w:lang w:val="en"/>
        </w:rPr>
      </w:pPr>
      <w:r w:rsidRPr="0008451F">
        <w:rPr>
          <w:lang w:val="en"/>
        </w:rPr>
        <w:t xml:space="preserve">Note:  If a patient refuses a flu shot, document it in the medical record and count it </w:t>
      </w:r>
      <w:proofErr w:type="spellStart"/>
      <w:r w:rsidRPr="0008451F">
        <w:rPr>
          <w:lang w:val="en"/>
        </w:rPr>
        <w:t>as</w:t>
      </w:r>
      <w:proofErr w:type="spellEnd"/>
      <w:r w:rsidRPr="0008451F">
        <w:rPr>
          <w:lang w:val="en"/>
        </w:rPr>
        <w:t xml:space="preserve"> not received.</w:t>
      </w:r>
    </w:p>
    <w:p w14:paraId="390268F6" w14:textId="77777777" w:rsidR="00DC0AD8" w:rsidRPr="0008451F" w:rsidRDefault="00DC0AD8" w:rsidP="00DC0AD8">
      <w:pPr>
        <w:pStyle w:val="NormalWeb"/>
        <w:shd w:val="clear" w:color="auto" w:fill="FFFFFF"/>
        <w:contextualSpacing/>
        <w:rPr>
          <w:lang w:val="en"/>
        </w:rPr>
      </w:pPr>
    </w:p>
    <w:p w14:paraId="7D255B01" w14:textId="77777777" w:rsidR="000A0D75" w:rsidRPr="0008451F" w:rsidRDefault="000A0D75" w:rsidP="00DD34B3">
      <w:pPr>
        <w:pStyle w:val="NormalWeb"/>
        <w:shd w:val="clear" w:color="auto" w:fill="FFFFFF"/>
        <w:rPr>
          <w:lang w:val="en"/>
        </w:rPr>
      </w:pPr>
      <w:r w:rsidRPr="0008451F">
        <w:rPr>
          <w:b/>
          <w:u w:val="single"/>
          <w:lang w:val="en"/>
        </w:rPr>
        <w:t>Obesity Screening and Counseling</w:t>
      </w:r>
    </w:p>
    <w:p w14:paraId="1D212250" w14:textId="77777777" w:rsidR="00F16CBD" w:rsidRPr="0008451F" w:rsidRDefault="00F16CBD" w:rsidP="0008451F">
      <w:pPr>
        <w:pStyle w:val="ListParagraph"/>
        <w:numPr>
          <w:ilvl w:val="0"/>
          <w:numId w:val="12"/>
        </w:numPr>
        <w:jc w:val="both"/>
        <w:rPr>
          <w:rFonts w:ascii="Times New Roman" w:hAnsi="Times New Roman" w:cs="Times New Roman"/>
          <w:b/>
          <w:sz w:val="24"/>
          <w:szCs w:val="24"/>
        </w:rPr>
      </w:pPr>
      <w:r w:rsidRPr="0008451F">
        <w:rPr>
          <w:rFonts w:ascii="Times New Roman" w:eastAsia="Times New Roman" w:hAnsi="Times New Roman" w:cs="Times New Roman"/>
          <w:b/>
          <w:sz w:val="24"/>
          <w:szCs w:val="24"/>
        </w:rPr>
        <w:t>Percentage of patients aged 18 and older with a documented BMI</w:t>
      </w:r>
      <w:r w:rsidRPr="0008451F">
        <w:rPr>
          <w:rFonts w:ascii="Times New Roman" w:eastAsia="Times New Roman" w:hAnsi="Times New Roman" w:cs="Times New Roman"/>
          <w:sz w:val="24"/>
          <w:szCs w:val="24"/>
        </w:rPr>
        <w:t xml:space="preserve"> </w:t>
      </w:r>
      <w:r w:rsidRPr="0008451F">
        <w:rPr>
          <w:rFonts w:ascii="Times New Roman" w:hAnsi="Times New Roman" w:cs="Times New Roman"/>
          <w:b/>
          <w:sz w:val="24"/>
          <w:szCs w:val="24"/>
        </w:rPr>
        <w:t>during the measurement year.</w:t>
      </w:r>
    </w:p>
    <w:p w14:paraId="1B2E0EBD" w14:textId="77777777" w:rsidR="00F16CBD" w:rsidRPr="0008451F" w:rsidRDefault="00F16CBD" w:rsidP="00F16CBD">
      <w:pPr>
        <w:jc w:val="left"/>
        <w:rPr>
          <w:rFonts w:ascii="Times New Roman" w:eastAsia="Times New Roman" w:hAnsi="Times New Roman" w:cs="Times New Roman"/>
          <w:sz w:val="24"/>
          <w:szCs w:val="24"/>
        </w:rPr>
      </w:pPr>
      <w:r w:rsidRPr="0008451F">
        <w:rPr>
          <w:rFonts w:ascii="Times New Roman" w:hAnsi="Times New Roman" w:cs="Times New Roman"/>
          <w:b/>
          <w:sz w:val="24"/>
          <w:szCs w:val="24"/>
        </w:rPr>
        <w:t xml:space="preserve"> </w:t>
      </w:r>
      <w:r w:rsidRPr="0008451F">
        <w:rPr>
          <w:rFonts w:ascii="Times New Roman" w:eastAsia="Times New Roman" w:hAnsi="Times New Roman" w:cs="Times New Roman"/>
          <w:b/>
          <w:sz w:val="24"/>
          <w:szCs w:val="24"/>
        </w:rPr>
        <w:t>Numerator</w:t>
      </w:r>
      <w:r w:rsidRPr="0008451F">
        <w:rPr>
          <w:rFonts w:ascii="Times New Roman" w:eastAsia="Times New Roman" w:hAnsi="Times New Roman" w:cs="Times New Roman"/>
          <w:sz w:val="24"/>
          <w:szCs w:val="24"/>
        </w:rPr>
        <w:t>:  Number of patients who were 18 years or older and had at least two medical visits during the measurement year and had their BMI documented during the measurement year.</w:t>
      </w:r>
    </w:p>
    <w:p w14:paraId="50F81A90" w14:textId="77777777" w:rsidR="00F16CBD" w:rsidRPr="0008451F" w:rsidRDefault="00F16CBD" w:rsidP="00F16CBD">
      <w:pPr>
        <w:spacing w:line="240" w:lineRule="auto"/>
        <w:jc w:val="left"/>
        <w:rPr>
          <w:rFonts w:ascii="Times New Roman" w:eastAsia="Times New Roman" w:hAnsi="Times New Roman" w:cs="Times New Roman"/>
          <w:sz w:val="24"/>
          <w:szCs w:val="24"/>
        </w:rPr>
      </w:pPr>
      <w:r w:rsidRPr="0008451F">
        <w:rPr>
          <w:rFonts w:ascii="Times New Roman" w:eastAsia="Times New Roman" w:hAnsi="Times New Roman" w:cs="Times New Roman"/>
          <w:b/>
          <w:sz w:val="24"/>
          <w:szCs w:val="24"/>
        </w:rPr>
        <w:t>Denominator</w:t>
      </w:r>
      <w:r w:rsidRPr="0008451F">
        <w:rPr>
          <w:rFonts w:ascii="Times New Roman" w:eastAsia="Times New Roman" w:hAnsi="Times New Roman" w:cs="Times New Roman"/>
          <w:sz w:val="24"/>
          <w:szCs w:val="24"/>
        </w:rPr>
        <w:t xml:space="preserve">:  Number of patients who were 18 years of age or older and had at least two medical visits during the measurement year </w:t>
      </w:r>
    </w:p>
    <w:p w14:paraId="591FDF1A" w14:textId="77777777" w:rsidR="00F16CBD" w:rsidRPr="0008451F" w:rsidRDefault="00F16CBD" w:rsidP="00F16CBD">
      <w:pPr>
        <w:pStyle w:val="ListParagraph"/>
        <w:numPr>
          <w:ilvl w:val="0"/>
          <w:numId w:val="12"/>
        </w:numPr>
        <w:jc w:val="left"/>
        <w:rPr>
          <w:rFonts w:ascii="Times New Roman" w:eastAsia="Times New Roman" w:hAnsi="Times New Roman" w:cs="Times New Roman"/>
          <w:b/>
          <w:sz w:val="24"/>
          <w:szCs w:val="24"/>
        </w:rPr>
      </w:pPr>
      <w:r w:rsidRPr="0008451F">
        <w:rPr>
          <w:rFonts w:ascii="Times New Roman" w:eastAsia="Times New Roman" w:hAnsi="Times New Roman" w:cs="Times New Roman"/>
          <w:b/>
          <w:sz w:val="24"/>
          <w:szCs w:val="24"/>
        </w:rPr>
        <w:t>Percentage of patients with abnormal BMI that have a documented follow-up plan (out of patients that have an abnormal BMI).</w:t>
      </w:r>
    </w:p>
    <w:p w14:paraId="36BECBA7" w14:textId="77777777" w:rsidR="00F16CBD" w:rsidRPr="0008451F" w:rsidRDefault="00F16CBD" w:rsidP="00F16CBD">
      <w:pPr>
        <w:jc w:val="left"/>
        <w:rPr>
          <w:rFonts w:ascii="Times New Roman" w:eastAsia="Times New Roman" w:hAnsi="Times New Roman" w:cs="Times New Roman"/>
          <w:sz w:val="24"/>
          <w:szCs w:val="24"/>
        </w:rPr>
      </w:pPr>
      <w:r w:rsidRPr="0008451F">
        <w:rPr>
          <w:rFonts w:ascii="Times New Roman" w:hAnsi="Times New Roman" w:cs="Times New Roman"/>
          <w:b/>
          <w:sz w:val="24"/>
          <w:szCs w:val="24"/>
        </w:rPr>
        <w:t>Numerator:</w:t>
      </w:r>
      <w:r w:rsidRPr="0008451F">
        <w:rPr>
          <w:rFonts w:ascii="Times New Roman" w:eastAsia="Times New Roman" w:hAnsi="Times New Roman" w:cs="Times New Roman"/>
          <w:sz w:val="24"/>
          <w:szCs w:val="24"/>
        </w:rPr>
        <w:t xml:space="preserve">  Number of patients age 18 years or older who had two medical visits during the measurement year, had an abnormal BMI documented, and had a follow-up plan documented.</w:t>
      </w:r>
    </w:p>
    <w:p w14:paraId="50978C06" w14:textId="77777777" w:rsidR="00F16CBD" w:rsidRPr="0008451F" w:rsidRDefault="00F16CBD" w:rsidP="00F16CBD">
      <w:pPr>
        <w:jc w:val="left"/>
        <w:rPr>
          <w:rFonts w:ascii="Times New Roman" w:eastAsia="Times New Roman" w:hAnsi="Times New Roman" w:cs="Times New Roman"/>
          <w:sz w:val="24"/>
          <w:szCs w:val="24"/>
        </w:rPr>
      </w:pPr>
      <w:r w:rsidRPr="0008451F">
        <w:rPr>
          <w:rFonts w:ascii="Times New Roman" w:hAnsi="Times New Roman" w:cs="Times New Roman"/>
          <w:b/>
          <w:sz w:val="24"/>
          <w:szCs w:val="24"/>
        </w:rPr>
        <w:t xml:space="preserve">Denominator: </w:t>
      </w:r>
      <w:r w:rsidRPr="0008451F">
        <w:rPr>
          <w:rFonts w:ascii="Times New Roman" w:eastAsia="Times New Roman" w:hAnsi="Times New Roman" w:cs="Times New Roman"/>
          <w:sz w:val="24"/>
          <w:szCs w:val="24"/>
        </w:rPr>
        <w:t>Number of patients age 18 years or older who had at least two medical visits during the measurement year and an abnormal BMI documented.</w:t>
      </w:r>
    </w:p>
    <w:p w14:paraId="60E3B185" w14:textId="77777777" w:rsidR="00F16CBD" w:rsidRPr="0008451F" w:rsidRDefault="00F16CBD" w:rsidP="00F16CBD">
      <w:pPr>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 xml:space="preserve">Enter the total number of patients whose record demonstrates that their BMI (not just height and weight) was documented during their last visit or within 6 months prior to that visit, and which demonstrates that they received a follow-up plan to address their weight if they: </w:t>
      </w:r>
    </w:p>
    <w:p w14:paraId="1A1E3860"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lastRenderedPageBreak/>
        <w:t xml:space="preserve">• Were under age 65 and their BMI was greater than or equal to 25, or  </w:t>
      </w:r>
    </w:p>
    <w:p w14:paraId="1465746C"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 Were age 65 or older and their BMI was greater than or equal to 30</w:t>
      </w:r>
    </w:p>
    <w:p w14:paraId="133019E5" w14:textId="77777777" w:rsidR="00F16CBD" w:rsidRPr="0008451F" w:rsidRDefault="00F16CBD" w:rsidP="00F16CBD">
      <w:pPr>
        <w:contextualSpacing/>
        <w:jc w:val="left"/>
        <w:rPr>
          <w:rFonts w:ascii="Times New Roman" w:eastAsia="Times New Roman" w:hAnsi="Times New Roman" w:cs="Times New Roman"/>
          <w:sz w:val="24"/>
          <w:szCs w:val="24"/>
        </w:rPr>
      </w:pPr>
    </w:p>
    <w:p w14:paraId="375E24AF"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 xml:space="preserve">Exclusions: </w:t>
      </w:r>
    </w:p>
    <w:p w14:paraId="31B213C9"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 xml:space="preserve">• Pregnant women </w:t>
      </w:r>
    </w:p>
    <w:p w14:paraId="17ADC111"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 Terminally ill patients (no definition is provided)</w:t>
      </w:r>
    </w:p>
    <w:p w14:paraId="7FD461BE" w14:textId="77777777" w:rsidR="00F16CBD" w:rsidRPr="0008451F" w:rsidRDefault="00F16CBD" w:rsidP="00F16CBD">
      <w:pPr>
        <w:contextualSpacing/>
        <w:jc w:val="left"/>
        <w:rPr>
          <w:rFonts w:ascii="Times New Roman" w:eastAsia="Times New Roman" w:hAnsi="Times New Roman" w:cs="Times New Roman"/>
          <w:sz w:val="24"/>
          <w:szCs w:val="24"/>
        </w:rPr>
      </w:pPr>
    </w:p>
    <w:p w14:paraId="11B6BB8C" w14:textId="77777777" w:rsidR="00F16CBD" w:rsidRPr="0008451F" w:rsidRDefault="00F16CBD" w:rsidP="00F16CBD">
      <w:pPr>
        <w:contextualSpacing/>
        <w:jc w:val="left"/>
        <w:rPr>
          <w:rFonts w:ascii="Times New Roman" w:eastAsia="Times New Roman" w:hAnsi="Times New Roman" w:cs="Times New Roman"/>
          <w:sz w:val="24"/>
          <w:szCs w:val="24"/>
        </w:rPr>
      </w:pPr>
      <w:r w:rsidRPr="0008451F">
        <w:rPr>
          <w:rFonts w:ascii="Times New Roman" w:eastAsia="Times New Roman" w:hAnsi="Times New Roman" w:cs="Times New Roman"/>
          <w:sz w:val="24"/>
          <w:szCs w:val="24"/>
        </w:rPr>
        <w:t>Note:  While it is possible that not all clinics are calculating BMIs, we are strongly encouraging them to reconsider their policy and implement the calculation of BMIs as part of their quality improvement processes.  The overall purpose of having performance standards is to evaluate quality and adopt best practices such as this.</w:t>
      </w:r>
    </w:p>
    <w:p w14:paraId="02E222D3" w14:textId="77777777" w:rsidR="00CB1C0C" w:rsidRDefault="00CB1C0C" w:rsidP="00DD34B3">
      <w:pPr>
        <w:jc w:val="left"/>
        <w:rPr>
          <w:rFonts w:ascii="Times New Roman" w:hAnsi="Times New Roman" w:cs="Times New Roman"/>
          <w:b/>
          <w:sz w:val="24"/>
          <w:szCs w:val="24"/>
        </w:rPr>
      </w:pPr>
    </w:p>
    <w:p w14:paraId="4B44C5A7" w14:textId="4C520DA4" w:rsidR="00F57A5F" w:rsidRPr="00CB1C0C" w:rsidRDefault="00F57A5F" w:rsidP="00DD34B3">
      <w:pPr>
        <w:jc w:val="left"/>
        <w:rPr>
          <w:rFonts w:ascii="Times New Roman" w:hAnsi="Times New Roman" w:cs="Times New Roman"/>
          <w:b/>
          <w:sz w:val="28"/>
          <w:szCs w:val="28"/>
        </w:rPr>
      </w:pPr>
      <w:r w:rsidRPr="00CB1C0C">
        <w:rPr>
          <w:rFonts w:ascii="Times New Roman" w:hAnsi="Times New Roman" w:cs="Times New Roman"/>
          <w:b/>
          <w:sz w:val="28"/>
          <w:szCs w:val="28"/>
        </w:rPr>
        <w:t>OPERATIONAL MEASURE</w:t>
      </w:r>
    </w:p>
    <w:p w14:paraId="285F7DCC" w14:textId="77777777" w:rsidR="00F57A5F" w:rsidRPr="0008451F" w:rsidRDefault="00F57A5F" w:rsidP="00DD34B3">
      <w:pPr>
        <w:jc w:val="left"/>
        <w:rPr>
          <w:rFonts w:ascii="Times New Roman" w:hAnsi="Times New Roman" w:cs="Times New Roman"/>
          <w:sz w:val="24"/>
          <w:szCs w:val="24"/>
        </w:rPr>
      </w:pPr>
      <w:r w:rsidRPr="0008451F">
        <w:rPr>
          <w:rFonts w:ascii="Times New Roman" w:hAnsi="Times New Roman" w:cs="Times New Roman"/>
          <w:b/>
          <w:sz w:val="24"/>
          <w:szCs w:val="24"/>
          <w:u w:val="single"/>
        </w:rPr>
        <w:t>Patient Centered Access</w:t>
      </w:r>
    </w:p>
    <w:p w14:paraId="7269C4B0" w14:textId="77777777" w:rsidR="00F57A5F" w:rsidRPr="0008451F" w:rsidRDefault="007D32F1" w:rsidP="00DD34B3">
      <w:pPr>
        <w:jc w:val="left"/>
        <w:rPr>
          <w:rFonts w:ascii="Times New Roman" w:hAnsi="Times New Roman" w:cs="Times New Roman"/>
          <w:b/>
          <w:sz w:val="24"/>
          <w:szCs w:val="24"/>
        </w:rPr>
      </w:pPr>
      <w:r w:rsidRPr="0008451F">
        <w:rPr>
          <w:rFonts w:ascii="Times New Roman" w:hAnsi="Times New Roman" w:cs="Times New Roman"/>
          <w:b/>
          <w:sz w:val="24"/>
          <w:szCs w:val="24"/>
        </w:rPr>
        <w:t>Percentage</w:t>
      </w:r>
      <w:r w:rsidR="00F57A5F" w:rsidRPr="0008451F">
        <w:rPr>
          <w:rFonts w:ascii="Times New Roman" w:hAnsi="Times New Roman" w:cs="Times New Roman"/>
          <w:b/>
          <w:sz w:val="24"/>
          <w:szCs w:val="24"/>
        </w:rPr>
        <w:t xml:space="preserve"> of lab tests ordered</w:t>
      </w:r>
      <w:r w:rsidR="006735AE" w:rsidRPr="0008451F">
        <w:rPr>
          <w:rFonts w:ascii="Times New Roman" w:hAnsi="Times New Roman" w:cs="Times New Roman"/>
          <w:b/>
          <w:sz w:val="24"/>
          <w:szCs w:val="24"/>
        </w:rPr>
        <w:t xml:space="preserve"> and tracked</w:t>
      </w:r>
      <w:r w:rsidR="00F57A5F" w:rsidRPr="0008451F">
        <w:rPr>
          <w:rFonts w:ascii="Times New Roman" w:hAnsi="Times New Roman" w:cs="Times New Roman"/>
          <w:b/>
          <w:sz w:val="24"/>
          <w:szCs w:val="24"/>
        </w:rPr>
        <w:t xml:space="preserve"> for patients </w:t>
      </w:r>
      <w:r w:rsidR="006B0925" w:rsidRPr="0008451F">
        <w:rPr>
          <w:rFonts w:ascii="Times New Roman" w:hAnsi="Times New Roman" w:cs="Times New Roman"/>
          <w:b/>
          <w:sz w:val="24"/>
          <w:szCs w:val="24"/>
        </w:rPr>
        <w:t>age 18 and older</w:t>
      </w:r>
      <w:r w:rsidR="00783923" w:rsidRPr="0008451F">
        <w:rPr>
          <w:rFonts w:ascii="Times New Roman" w:hAnsi="Times New Roman" w:cs="Times New Roman"/>
          <w:b/>
          <w:sz w:val="24"/>
          <w:szCs w:val="24"/>
        </w:rPr>
        <w:t xml:space="preserve"> </w:t>
      </w:r>
      <w:r w:rsidR="00F57A5F" w:rsidRPr="0008451F">
        <w:rPr>
          <w:rFonts w:ascii="Times New Roman" w:hAnsi="Times New Roman" w:cs="Times New Roman"/>
          <w:b/>
          <w:sz w:val="24"/>
          <w:szCs w:val="24"/>
        </w:rPr>
        <w:t xml:space="preserve">diagnosed with Diabetes Type I or Type II </w:t>
      </w:r>
      <w:r w:rsidR="00F71A8D" w:rsidRPr="0008451F">
        <w:rPr>
          <w:rFonts w:ascii="Times New Roman" w:hAnsi="Times New Roman" w:cs="Times New Roman"/>
          <w:b/>
          <w:sz w:val="24"/>
          <w:szCs w:val="24"/>
        </w:rPr>
        <w:t>who had at least two</w:t>
      </w:r>
      <w:r w:rsidR="00F57A5F" w:rsidRPr="0008451F">
        <w:rPr>
          <w:rFonts w:ascii="Times New Roman" w:hAnsi="Times New Roman" w:cs="Times New Roman"/>
          <w:b/>
          <w:sz w:val="24"/>
          <w:szCs w:val="24"/>
        </w:rPr>
        <w:t xml:space="preserve"> visit during the measurement year and action was taken to follow up on overdue</w:t>
      </w:r>
      <w:r w:rsidRPr="0008451F">
        <w:rPr>
          <w:rFonts w:ascii="Times New Roman" w:hAnsi="Times New Roman" w:cs="Times New Roman"/>
          <w:b/>
          <w:sz w:val="24"/>
          <w:szCs w:val="24"/>
        </w:rPr>
        <w:t>*</w:t>
      </w:r>
      <w:r w:rsidR="00F57A5F" w:rsidRPr="0008451F">
        <w:rPr>
          <w:rFonts w:ascii="Times New Roman" w:hAnsi="Times New Roman" w:cs="Times New Roman"/>
          <w:b/>
          <w:sz w:val="24"/>
          <w:szCs w:val="24"/>
        </w:rPr>
        <w:t xml:space="preserve"> results. </w:t>
      </w:r>
    </w:p>
    <w:p w14:paraId="5EAB7C03" w14:textId="77777777" w:rsidR="007D32F1" w:rsidRPr="0008451F" w:rsidRDefault="007D32F1" w:rsidP="00DD34B3">
      <w:pPr>
        <w:jc w:val="left"/>
        <w:rPr>
          <w:rFonts w:ascii="Times New Roman" w:hAnsi="Times New Roman" w:cs="Times New Roman"/>
          <w:sz w:val="24"/>
          <w:szCs w:val="24"/>
        </w:rPr>
      </w:pPr>
      <w:proofErr w:type="gramStart"/>
      <w:r w:rsidRPr="0008451F">
        <w:rPr>
          <w:rFonts w:ascii="Times New Roman" w:hAnsi="Times New Roman" w:cs="Times New Roman"/>
          <w:sz w:val="24"/>
          <w:szCs w:val="24"/>
        </w:rPr>
        <w:t>*”Overdue</w:t>
      </w:r>
      <w:proofErr w:type="gramEnd"/>
      <w:r w:rsidRPr="0008451F">
        <w:rPr>
          <w:rFonts w:ascii="Times New Roman" w:hAnsi="Times New Roman" w:cs="Times New Roman"/>
          <w:sz w:val="24"/>
          <w:szCs w:val="24"/>
        </w:rPr>
        <w:t>” is the standard that your clinic has established (i.e., 3-5 business days).  When reporting results to FCAP, please cite your standard on your reporting form.</w:t>
      </w:r>
    </w:p>
    <w:p w14:paraId="73C16477" w14:textId="5B8C2068" w:rsidR="00F57A5F" w:rsidRPr="0008451F" w:rsidRDefault="00F57A5F" w:rsidP="00DD34B3">
      <w:pPr>
        <w:jc w:val="left"/>
        <w:rPr>
          <w:rFonts w:ascii="Times New Roman" w:hAnsi="Times New Roman" w:cs="Times New Roman"/>
          <w:sz w:val="24"/>
          <w:szCs w:val="24"/>
        </w:rPr>
      </w:pPr>
      <w:r w:rsidRPr="0008451F">
        <w:rPr>
          <w:rFonts w:ascii="Times New Roman" w:hAnsi="Times New Roman" w:cs="Times New Roman"/>
          <w:b/>
          <w:sz w:val="24"/>
          <w:szCs w:val="24"/>
        </w:rPr>
        <w:t>Numerator</w:t>
      </w:r>
      <w:r w:rsidR="00046471" w:rsidRPr="0008451F">
        <w:rPr>
          <w:rFonts w:ascii="Times New Roman" w:hAnsi="Times New Roman" w:cs="Times New Roman"/>
          <w:sz w:val="24"/>
          <w:szCs w:val="24"/>
        </w:rPr>
        <w:t>: Number</w:t>
      </w:r>
      <w:r w:rsidRPr="0008451F">
        <w:rPr>
          <w:rFonts w:ascii="Times New Roman" w:hAnsi="Times New Roman" w:cs="Times New Roman"/>
          <w:sz w:val="24"/>
          <w:szCs w:val="24"/>
        </w:rPr>
        <w:t xml:space="preserve"> of lab tests ordered </w:t>
      </w:r>
      <w:r w:rsidR="000C34C7" w:rsidRPr="0008451F">
        <w:rPr>
          <w:rFonts w:ascii="Times New Roman" w:hAnsi="Times New Roman" w:cs="Times New Roman"/>
          <w:sz w:val="24"/>
          <w:szCs w:val="24"/>
        </w:rPr>
        <w:t xml:space="preserve">and tracked </w:t>
      </w:r>
      <w:r w:rsidRPr="0008451F">
        <w:rPr>
          <w:rFonts w:ascii="Times New Roman" w:hAnsi="Times New Roman" w:cs="Times New Roman"/>
          <w:sz w:val="24"/>
          <w:szCs w:val="24"/>
        </w:rPr>
        <w:t xml:space="preserve">for patients </w:t>
      </w:r>
      <w:r w:rsidR="00783923" w:rsidRPr="0008451F">
        <w:rPr>
          <w:rFonts w:ascii="Times New Roman" w:hAnsi="Times New Roman" w:cs="Times New Roman"/>
          <w:sz w:val="24"/>
          <w:szCs w:val="24"/>
        </w:rPr>
        <w:t xml:space="preserve">age 18 </w:t>
      </w:r>
      <w:r w:rsidR="009729D7">
        <w:rPr>
          <w:rFonts w:ascii="Times New Roman" w:hAnsi="Times New Roman" w:cs="Times New Roman"/>
          <w:sz w:val="24"/>
          <w:szCs w:val="24"/>
        </w:rPr>
        <w:t xml:space="preserve">and older </w:t>
      </w:r>
      <w:r w:rsidRPr="0008451F">
        <w:rPr>
          <w:rFonts w:ascii="Times New Roman" w:hAnsi="Times New Roman" w:cs="Times New Roman"/>
          <w:sz w:val="24"/>
          <w:szCs w:val="24"/>
        </w:rPr>
        <w:t>diagnosed with Diabetes Type I</w:t>
      </w:r>
      <w:r w:rsidR="00046471" w:rsidRPr="0008451F">
        <w:rPr>
          <w:rFonts w:ascii="Times New Roman" w:hAnsi="Times New Roman" w:cs="Times New Roman"/>
          <w:sz w:val="24"/>
          <w:szCs w:val="24"/>
        </w:rPr>
        <w:t xml:space="preserve"> or Type II who had at least two</w:t>
      </w:r>
      <w:r w:rsidRPr="0008451F">
        <w:rPr>
          <w:rFonts w:ascii="Times New Roman" w:hAnsi="Times New Roman" w:cs="Times New Roman"/>
          <w:sz w:val="24"/>
          <w:szCs w:val="24"/>
        </w:rPr>
        <w:t xml:space="preserve"> visit</w:t>
      </w:r>
      <w:r w:rsidR="00046471" w:rsidRPr="0008451F">
        <w:rPr>
          <w:rFonts w:ascii="Times New Roman" w:hAnsi="Times New Roman" w:cs="Times New Roman"/>
          <w:sz w:val="24"/>
          <w:szCs w:val="24"/>
        </w:rPr>
        <w:t>s</w:t>
      </w:r>
      <w:r w:rsidRPr="0008451F">
        <w:rPr>
          <w:rFonts w:ascii="Times New Roman" w:hAnsi="Times New Roman" w:cs="Times New Roman"/>
          <w:sz w:val="24"/>
          <w:szCs w:val="24"/>
        </w:rPr>
        <w:t xml:space="preserve"> during the measurement year and action was taken to follow up on overdue</w:t>
      </w:r>
      <w:r w:rsidR="00493C96" w:rsidRPr="0008451F">
        <w:rPr>
          <w:rFonts w:ascii="Times New Roman" w:hAnsi="Times New Roman" w:cs="Times New Roman"/>
          <w:sz w:val="24"/>
          <w:szCs w:val="24"/>
        </w:rPr>
        <w:t xml:space="preserve"> results</w:t>
      </w:r>
      <w:r w:rsidRPr="0008451F">
        <w:rPr>
          <w:rFonts w:ascii="Times New Roman" w:hAnsi="Times New Roman" w:cs="Times New Roman"/>
          <w:sz w:val="24"/>
          <w:szCs w:val="24"/>
        </w:rPr>
        <w:t>.</w:t>
      </w:r>
    </w:p>
    <w:p w14:paraId="5D382037" w14:textId="08ED1A93" w:rsidR="00F57A5F" w:rsidRPr="0008451F" w:rsidRDefault="00F57A5F" w:rsidP="00DD34B3">
      <w:pPr>
        <w:jc w:val="left"/>
        <w:rPr>
          <w:rFonts w:ascii="Times New Roman" w:hAnsi="Times New Roman" w:cs="Times New Roman"/>
          <w:sz w:val="24"/>
          <w:szCs w:val="24"/>
        </w:rPr>
      </w:pPr>
      <w:r w:rsidRPr="0008451F">
        <w:rPr>
          <w:rFonts w:ascii="Times New Roman" w:hAnsi="Times New Roman" w:cs="Times New Roman"/>
          <w:b/>
          <w:sz w:val="24"/>
          <w:szCs w:val="24"/>
        </w:rPr>
        <w:t>Denominator</w:t>
      </w:r>
      <w:r w:rsidR="0041228A" w:rsidRPr="0008451F">
        <w:rPr>
          <w:rFonts w:ascii="Times New Roman" w:hAnsi="Times New Roman" w:cs="Times New Roman"/>
          <w:sz w:val="24"/>
          <w:szCs w:val="24"/>
        </w:rPr>
        <w:t>: Number</w:t>
      </w:r>
      <w:r w:rsidRPr="0008451F">
        <w:rPr>
          <w:rFonts w:ascii="Times New Roman" w:hAnsi="Times New Roman" w:cs="Times New Roman"/>
          <w:sz w:val="24"/>
          <w:szCs w:val="24"/>
        </w:rPr>
        <w:t xml:space="preserve"> of lab tests ordered for patients </w:t>
      </w:r>
      <w:r w:rsidR="00783923" w:rsidRPr="0008451F">
        <w:rPr>
          <w:rFonts w:ascii="Times New Roman" w:hAnsi="Times New Roman" w:cs="Times New Roman"/>
          <w:sz w:val="24"/>
          <w:szCs w:val="24"/>
        </w:rPr>
        <w:t xml:space="preserve">age 18 </w:t>
      </w:r>
      <w:r w:rsidR="009729D7">
        <w:rPr>
          <w:rFonts w:ascii="Times New Roman" w:hAnsi="Times New Roman" w:cs="Times New Roman"/>
          <w:sz w:val="24"/>
          <w:szCs w:val="24"/>
        </w:rPr>
        <w:t xml:space="preserve">and older </w:t>
      </w:r>
      <w:r w:rsidRPr="0008451F">
        <w:rPr>
          <w:rFonts w:ascii="Times New Roman" w:hAnsi="Times New Roman" w:cs="Times New Roman"/>
          <w:sz w:val="24"/>
          <w:szCs w:val="24"/>
        </w:rPr>
        <w:t>diagnosed with Diabetes Type I</w:t>
      </w:r>
      <w:r w:rsidR="0041228A" w:rsidRPr="0008451F">
        <w:rPr>
          <w:rFonts w:ascii="Times New Roman" w:hAnsi="Times New Roman" w:cs="Times New Roman"/>
          <w:sz w:val="24"/>
          <w:szCs w:val="24"/>
        </w:rPr>
        <w:t xml:space="preserve"> or Type II who had at least two</w:t>
      </w:r>
      <w:r w:rsidRPr="0008451F">
        <w:rPr>
          <w:rFonts w:ascii="Times New Roman" w:hAnsi="Times New Roman" w:cs="Times New Roman"/>
          <w:sz w:val="24"/>
          <w:szCs w:val="24"/>
        </w:rPr>
        <w:t xml:space="preserve"> visit</w:t>
      </w:r>
      <w:r w:rsidR="0041228A" w:rsidRPr="0008451F">
        <w:rPr>
          <w:rFonts w:ascii="Times New Roman" w:hAnsi="Times New Roman" w:cs="Times New Roman"/>
          <w:sz w:val="24"/>
          <w:szCs w:val="24"/>
        </w:rPr>
        <w:t>s</w:t>
      </w:r>
      <w:r w:rsidRPr="0008451F">
        <w:rPr>
          <w:rFonts w:ascii="Times New Roman" w:hAnsi="Times New Roman" w:cs="Times New Roman"/>
          <w:sz w:val="24"/>
          <w:szCs w:val="24"/>
        </w:rPr>
        <w:t xml:space="preserve"> during the measurement year.</w:t>
      </w:r>
    </w:p>
    <w:p w14:paraId="4D38C8E7" w14:textId="77777777" w:rsidR="00F57A5F" w:rsidRPr="0008451F" w:rsidRDefault="00B6659C" w:rsidP="00DD34B3">
      <w:pPr>
        <w:jc w:val="left"/>
        <w:rPr>
          <w:rFonts w:ascii="Times New Roman" w:hAnsi="Times New Roman" w:cs="Times New Roman"/>
          <w:sz w:val="24"/>
          <w:szCs w:val="24"/>
        </w:rPr>
      </w:pPr>
      <w:r w:rsidRPr="0008451F">
        <w:rPr>
          <w:rFonts w:ascii="Times New Roman" w:hAnsi="Times New Roman" w:cs="Times New Roman"/>
          <w:sz w:val="24"/>
          <w:szCs w:val="24"/>
        </w:rPr>
        <w:t>Lab tests for this measure include:</w:t>
      </w:r>
      <w:r w:rsidR="00783923" w:rsidRPr="0008451F">
        <w:rPr>
          <w:rFonts w:ascii="Times New Roman" w:hAnsi="Times New Roman" w:cs="Times New Roman"/>
          <w:sz w:val="24"/>
          <w:szCs w:val="24"/>
        </w:rPr>
        <w:t xml:space="preserve">  Hemoglobin A1c, Lipid Panel, </w:t>
      </w:r>
      <w:r w:rsidR="008D2F77" w:rsidRPr="0008451F">
        <w:rPr>
          <w:rFonts w:ascii="Times New Roman" w:hAnsi="Times New Roman" w:cs="Times New Roman"/>
          <w:sz w:val="24"/>
          <w:szCs w:val="24"/>
        </w:rPr>
        <w:t xml:space="preserve">Urine </w:t>
      </w:r>
      <w:proofErr w:type="spellStart"/>
      <w:r w:rsidR="00783923" w:rsidRPr="0008451F">
        <w:rPr>
          <w:rFonts w:ascii="Times New Roman" w:hAnsi="Times New Roman" w:cs="Times New Roman"/>
          <w:sz w:val="24"/>
          <w:szCs w:val="24"/>
        </w:rPr>
        <w:t>Micro</w:t>
      </w:r>
      <w:r w:rsidR="008D2F77" w:rsidRPr="0008451F">
        <w:rPr>
          <w:rFonts w:ascii="Times New Roman" w:hAnsi="Times New Roman" w:cs="Times New Roman"/>
          <w:sz w:val="24"/>
          <w:szCs w:val="24"/>
        </w:rPr>
        <w:t>albumin</w:t>
      </w:r>
      <w:proofErr w:type="spellEnd"/>
      <w:r w:rsidR="008D2F77" w:rsidRPr="0008451F">
        <w:rPr>
          <w:rFonts w:ascii="Times New Roman" w:hAnsi="Times New Roman" w:cs="Times New Roman"/>
          <w:sz w:val="24"/>
          <w:szCs w:val="24"/>
        </w:rPr>
        <w:t xml:space="preserve"> </w:t>
      </w:r>
    </w:p>
    <w:p w14:paraId="1680277A" w14:textId="77777777" w:rsidR="00B6659C" w:rsidRPr="0008451F" w:rsidRDefault="00B6659C" w:rsidP="00DD34B3">
      <w:pPr>
        <w:jc w:val="left"/>
        <w:rPr>
          <w:rFonts w:ascii="Times New Roman" w:hAnsi="Times New Roman" w:cs="Times New Roman"/>
          <w:sz w:val="24"/>
          <w:szCs w:val="24"/>
        </w:rPr>
      </w:pPr>
      <w:r w:rsidRPr="0008451F">
        <w:rPr>
          <w:rFonts w:ascii="Times New Roman" w:hAnsi="Times New Roman" w:cs="Times New Roman"/>
          <w:sz w:val="24"/>
          <w:szCs w:val="24"/>
        </w:rPr>
        <w:t xml:space="preserve">Exclusions:  </w:t>
      </w:r>
    </w:p>
    <w:p w14:paraId="4D7739D4" w14:textId="77777777" w:rsidR="00B6659C" w:rsidRPr="0008451F" w:rsidRDefault="00B6659C" w:rsidP="00B6659C">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Patients not diagnosed with Diabetes Type I or Type II.</w:t>
      </w:r>
    </w:p>
    <w:p w14:paraId="71F250EE" w14:textId="77777777" w:rsidR="00783923" w:rsidRPr="0008451F" w:rsidRDefault="00783923" w:rsidP="00B6659C">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Steroid induced Diabetes.</w:t>
      </w:r>
    </w:p>
    <w:p w14:paraId="7817AF45" w14:textId="77777777" w:rsidR="00783923" w:rsidRPr="0008451F" w:rsidRDefault="00783923" w:rsidP="00B6659C">
      <w:pPr>
        <w:pStyle w:val="ListParagraph"/>
        <w:numPr>
          <w:ilvl w:val="0"/>
          <w:numId w:val="1"/>
        </w:numPr>
        <w:jc w:val="left"/>
        <w:rPr>
          <w:rFonts w:ascii="Times New Roman" w:hAnsi="Times New Roman" w:cs="Times New Roman"/>
          <w:sz w:val="24"/>
          <w:szCs w:val="24"/>
        </w:rPr>
      </w:pPr>
      <w:r w:rsidRPr="0008451F">
        <w:rPr>
          <w:rFonts w:ascii="Times New Roman" w:hAnsi="Times New Roman" w:cs="Times New Roman"/>
          <w:sz w:val="24"/>
          <w:szCs w:val="24"/>
        </w:rPr>
        <w:t>Gestational Diabetes</w:t>
      </w:r>
    </w:p>
    <w:p w14:paraId="7ECC56FA" w14:textId="77777777" w:rsidR="00CB1C0C" w:rsidRDefault="00783923" w:rsidP="000843C6">
      <w:pPr>
        <w:pStyle w:val="ListParagraph"/>
        <w:numPr>
          <w:ilvl w:val="0"/>
          <w:numId w:val="1"/>
        </w:numPr>
        <w:jc w:val="left"/>
        <w:rPr>
          <w:rFonts w:ascii="Times New Roman" w:hAnsi="Times New Roman" w:cs="Times New Roman"/>
          <w:sz w:val="24"/>
          <w:szCs w:val="24"/>
        </w:rPr>
      </w:pPr>
      <w:r w:rsidRPr="00CB1C0C">
        <w:rPr>
          <w:rFonts w:ascii="Times New Roman" w:hAnsi="Times New Roman" w:cs="Times New Roman"/>
          <w:sz w:val="24"/>
          <w:szCs w:val="24"/>
        </w:rPr>
        <w:t>Polycystic Ovary</w:t>
      </w:r>
    </w:p>
    <w:p w14:paraId="0FC38471" w14:textId="77777777" w:rsidR="00CB1C0C" w:rsidRDefault="00CB1C0C" w:rsidP="00CB1C0C">
      <w:pPr>
        <w:pStyle w:val="ListParagraph"/>
        <w:jc w:val="left"/>
        <w:rPr>
          <w:rFonts w:ascii="Times New Roman" w:hAnsi="Times New Roman" w:cs="Times New Roman"/>
          <w:sz w:val="24"/>
          <w:szCs w:val="24"/>
        </w:rPr>
      </w:pPr>
    </w:p>
    <w:p w14:paraId="4CE2358A" w14:textId="77777777" w:rsidR="00CB1C0C" w:rsidRDefault="00CB1C0C" w:rsidP="00CB1C0C">
      <w:pPr>
        <w:jc w:val="left"/>
        <w:rPr>
          <w:rFonts w:ascii="Times New Roman" w:hAnsi="Times New Roman" w:cs="Times New Roman"/>
          <w:sz w:val="24"/>
          <w:szCs w:val="24"/>
        </w:rPr>
      </w:pPr>
    </w:p>
    <w:p w14:paraId="5420F37E" w14:textId="67F3A8E6" w:rsidR="00B65C11" w:rsidRPr="00CB1C0C" w:rsidRDefault="00CB1C0C" w:rsidP="00CB1C0C">
      <w:pPr>
        <w:jc w:val="left"/>
        <w:rPr>
          <w:rFonts w:ascii="Times New Roman" w:hAnsi="Times New Roman" w:cs="Times New Roman"/>
          <w:sz w:val="24"/>
          <w:szCs w:val="24"/>
        </w:rPr>
      </w:pPr>
      <w:r>
        <w:rPr>
          <w:rFonts w:ascii="Times New Roman" w:hAnsi="Times New Roman" w:cs="Times New Roman"/>
          <w:sz w:val="24"/>
          <w:szCs w:val="24"/>
        </w:rPr>
        <w:t>Last Revised</w:t>
      </w:r>
      <w:r w:rsidR="006B0925" w:rsidRPr="00CB1C0C">
        <w:rPr>
          <w:rFonts w:ascii="Times New Roman" w:hAnsi="Times New Roman" w:cs="Times New Roman"/>
          <w:sz w:val="24"/>
          <w:szCs w:val="24"/>
        </w:rPr>
        <w:t xml:space="preserve"> August</w:t>
      </w:r>
      <w:r w:rsidR="009729D7">
        <w:rPr>
          <w:rFonts w:ascii="Times New Roman" w:hAnsi="Times New Roman" w:cs="Times New Roman"/>
          <w:sz w:val="24"/>
          <w:szCs w:val="24"/>
        </w:rPr>
        <w:t xml:space="preserve"> 24</w:t>
      </w:r>
      <w:bookmarkStart w:id="0" w:name="_GoBack"/>
      <w:bookmarkEnd w:id="0"/>
      <w:r w:rsidR="0041228A" w:rsidRPr="00CB1C0C">
        <w:rPr>
          <w:rFonts w:ascii="Times New Roman" w:hAnsi="Times New Roman" w:cs="Times New Roman"/>
          <w:sz w:val="24"/>
          <w:szCs w:val="24"/>
        </w:rPr>
        <w:t>, 2016</w:t>
      </w:r>
    </w:p>
    <w:sectPr w:rsidR="00B65C11" w:rsidRPr="00CB1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A54713"/>
    <w:multiLevelType w:val="hybridMultilevel"/>
    <w:tmpl w:val="B48CEB1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162071C"/>
    <w:multiLevelType w:val="hybridMultilevel"/>
    <w:tmpl w:val="95DE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26EF0"/>
    <w:multiLevelType w:val="hybridMultilevel"/>
    <w:tmpl w:val="87E6F65C"/>
    <w:lvl w:ilvl="0" w:tplc="859AC6DC">
      <w:start w:val="1"/>
      <w:numFmt w:val="decimal"/>
      <w:lvlText w:val="%1."/>
      <w:lvlJc w:val="left"/>
      <w:pPr>
        <w:ind w:left="720" w:hanging="360"/>
      </w:pPr>
      <w:rPr>
        <w:rFonts w:eastAsia="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440580"/>
    <w:multiLevelType w:val="hybridMultilevel"/>
    <w:tmpl w:val="7B9A54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4F4795"/>
    <w:multiLevelType w:val="hybridMultilevel"/>
    <w:tmpl w:val="ADD2E746"/>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6AFD3043"/>
    <w:multiLevelType w:val="hybridMultilevel"/>
    <w:tmpl w:val="56243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274FCA"/>
    <w:multiLevelType w:val="hybridMultilevel"/>
    <w:tmpl w:val="52701936"/>
    <w:lvl w:ilvl="0" w:tplc="4910504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D622F3"/>
    <w:multiLevelType w:val="hybridMultilevel"/>
    <w:tmpl w:val="D9122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934792"/>
    <w:multiLevelType w:val="hybridMultilevel"/>
    <w:tmpl w:val="D5826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A625A42"/>
    <w:multiLevelType w:val="hybridMultilevel"/>
    <w:tmpl w:val="251CE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630747"/>
    <w:multiLevelType w:val="hybridMultilevel"/>
    <w:tmpl w:val="98FEA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9"/>
  </w:num>
  <w:num w:numId="5">
    <w:abstractNumId w:val="6"/>
  </w:num>
  <w:num w:numId="6">
    <w:abstractNumId w:val="10"/>
  </w:num>
  <w:num w:numId="7">
    <w:abstractNumId w:val="8"/>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4B3"/>
    <w:rsid w:val="00046471"/>
    <w:rsid w:val="0006150B"/>
    <w:rsid w:val="000761DC"/>
    <w:rsid w:val="0008451F"/>
    <w:rsid w:val="000A0D75"/>
    <w:rsid w:val="000C34C7"/>
    <w:rsid w:val="00201D7E"/>
    <w:rsid w:val="002631FF"/>
    <w:rsid w:val="002717A0"/>
    <w:rsid w:val="00311939"/>
    <w:rsid w:val="00334A94"/>
    <w:rsid w:val="003941D1"/>
    <w:rsid w:val="003A1798"/>
    <w:rsid w:val="0041228A"/>
    <w:rsid w:val="00463B88"/>
    <w:rsid w:val="00493C96"/>
    <w:rsid w:val="004E1A2A"/>
    <w:rsid w:val="005A5169"/>
    <w:rsid w:val="005E40A1"/>
    <w:rsid w:val="006735AE"/>
    <w:rsid w:val="006801B4"/>
    <w:rsid w:val="006B0925"/>
    <w:rsid w:val="0072400F"/>
    <w:rsid w:val="00724D84"/>
    <w:rsid w:val="00783923"/>
    <w:rsid w:val="007D32F1"/>
    <w:rsid w:val="00895416"/>
    <w:rsid w:val="008D2F77"/>
    <w:rsid w:val="009156DA"/>
    <w:rsid w:val="009729D7"/>
    <w:rsid w:val="00984124"/>
    <w:rsid w:val="00A43271"/>
    <w:rsid w:val="00A57D2D"/>
    <w:rsid w:val="00A87524"/>
    <w:rsid w:val="00B65C11"/>
    <w:rsid w:val="00B6659C"/>
    <w:rsid w:val="00C821CF"/>
    <w:rsid w:val="00CB1C0C"/>
    <w:rsid w:val="00CE1D0C"/>
    <w:rsid w:val="00DC0AD8"/>
    <w:rsid w:val="00DD34B3"/>
    <w:rsid w:val="00DE5382"/>
    <w:rsid w:val="00E741BA"/>
    <w:rsid w:val="00EF0A8D"/>
    <w:rsid w:val="00F16CBD"/>
    <w:rsid w:val="00F52818"/>
    <w:rsid w:val="00F57A5F"/>
    <w:rsid w:val="00F71A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FF0"/>
  <w15:docId w15:val="{492282DD-E120-4589-B360-FBF80E0B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34B3"/>
    <w:pPr>
      <w:spacing w:before="120" w:after="120" w:line="336" w:lineRule="atLeast"/>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B6659C"/>
    <w:pPr>
      <w:ind w:left="720"/>
      <w:contextualSpacing/>
    </w:pPr>
  </w:style>
  <w:style w:type="paragraph" w:styleId="CommentText">
    <w:name w:val="annotation text"/>
    <w:basedOn w:val="Normal"/>
    <w:link w:val="CommentTextChar"/>
    <w:uiPriority w:val="99"/>
    <w:semiHidden/>
    <w:unhideWhenUsed/>
    <w:rsid w:val="00F16CBD"/>
    <w:pPr>
      <w:spacing w:line="240" w:lineRule="auto"/>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F16CBD"/>
    <w:rPr>
      <w:rFonts w:eastAsia="Times New Roman" w:cs="Times New Roman"/>
      <w:sz w:val="20"/>
      <w:szCs w:val="20"/>
    </w:rPr>
  </w:style>
  <w:style w:type="character" w:styleId="CommentReference">
    <w:name w:val="annotation reference"/>
    <w:basedOn w:val="DefaultParagraphFont"/>
    <w:uiPriority w:val="99"/>
    <w:semiHidden/>
    <w:unhideWhenUsed/>
    <w:rsid w:val="00F16CBD"/>
    <w:rPr>
      <w:rFonts w:cs="Times New Roman"/>
      <w:sz w:val="16"/>
      <w:szCs w:val="16"/>
    </w:rPr>
  </w:style>
  <w:style w:type="paragraph" w:styleId="BalloonText">
    <w:name w:val="Balloon Text"/>
    <w:basedOn w:val="Normal"/>
    <w:link w:val="BalloonTextChar"/>
    <w:uiPriority w:val="99"/>
    <w:semiHidden/>
    <w:unhideWhenUsed/>
    <w:rsid w:val="00F16C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C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14358">
      <w:bodyDiv w:val="1"/>
      <w:marLeft w:val="0"/>
      <w:marRight w:val="0"/>
      <w:marTop w:val="0"/>
      <w:marBottom w:val="0"/>
      <w:divBdr>
        <w:top w:val="none" w:sz="0" w:space="0" w:color="auto"/>
        <w:left w:val="none" w:sz="0" w:space="0" w:color="auto"/>
        <w:bottom w:val="none" w:sz="0" w:space="0" w:color="auto"/>
        <w:right w:val="none" w:sz="0" w:space="0" w:color="auto"/>
      </w:divBdr>
      <w:divsChild>
        <w:div w:id="1129936781">
          <w:marLeft w:val="0"/>
          <w:marRight w:val="0"/>
          <w:marTop w:val="0"/>
          <w:marBottom w:val="0"/>
          <w:divBdr>
            <w:top w:val="none" w:sz="0" w:space="0" w:color="auto"/>
            <w:left w:val="none" w:sz="0" w:space="0" w:color="auto"/>
            <w:bottom w:val="none" w:sz="0" w:space="0" w:color="auto"/>
            <w:right w:val="none" w:sz="0" w:space="0" w:color="auto"/>
          </w:divBdr>
          <w:divsChild>
            <w:div w:id="1605381742">
              <w:marLeft w:val="0"/>
              <w:marRight w:val="0"/>
              <w:marTop w:val="0"/>
              <w:marBottom w:val="0"/>
              <w:divBdr>
                <w:top w:val="none" w:sz="0" w:space="0" w:color="auto"/>
                <w:left w:val="none" w:sz="0" w:space="0" w:color="auto"/>
                <w:bottom w:val="none" w:sz="0" w:space="0" w:color="auto"/>
                <w:right w:val="none" w:sz="0" w:space="0" w:color="auto"/>
              </w:divBdr>
              <w:divsChild>
                <w:div w:id="1939176869">
                  <w:marLeft w:val="0"/>
                  <w:marRight w:val="0"/>
                  <w:marTop w:val="0"/>
                  <w:marBottom w:val="0"/>
                  <w:divBdr>
                    <w:top w:val="none" w:sz="0" w:space="0" w:color="auto"/>
                    <w:left w:val="none" w:sz="0" w:space="0" w:color="auto"/>
                    <w:bottom w:val="none" w:sz="0" w:space="0" w:color="auto"/>
                    <w:right w:val="none" w:sz="0" w:space="0" w:color="auto"/>
                  </w:divBdr>
                  <w:divsChild>
                    <w:div w:id="161774357">
                      <w:marLeft w:val="0"/>
                      <w:marRight w:val="0"/>
                      <w:marTop w:val="0"/>
                      <w:marBottom w:val="0"/>
                      <w:divBdr>
                        <w:top w:val="none" w:sz="0" w:space="0" w:color="auto"/>
                        <w:left w:val="none" w:sz="0" w:space="0" w:color="auto"/>
                        <w:bottom w:val="none" w:sz="0" w:space="0" w:color="auto"/>
                        <w:right w:val="none" w:sz="0" w:space="0" w:color="auto"/>
                      </w:divBdr>
                      <w:divsChild>
                        <w:div w:id="671222271">
                          <w:marLeft w:val="0"/>
                          <w:marRight w:val="-4320"/>
                          <w:marTop w:val="0"/>
                          <w:marBottom w:val="0"/>
                          <w:divBdr>
                            <w:top w:val="none" w:sz="0" w:space="0" w:color="auto"/>
                            <w:left w:val="none" w:sz="0" w:space="0" w:color="auto"/>
                            <w:bottom w:val="none" w:sz="0" w:space="0" w:color="auto"/>
                            <w:right w:val="single" w:sz="48" w:space="0" w:color="F2F2F2"/>
                          </w:divBdr>
                          <w:divsChild>
                            <w:div w:id="1769427995">
                              <w:marLeft w:val="0"/>
                              <w:marRight w:val="0"/>
                              <w:marTop w:val="0"/>
                              <w:marBottom w:val="0"/>
                              <w:divBdr>
                                <w:top w:val="none" w:sz="0" w:space="0" w:color="auto"/>
                                <w:left w:val="none" w:sz="0" w:space="0" w:color="auto"/>
                                <w:bottom w:val="none" w:sz="0" w:space="0" w:color="auto"/>
                                <w:right w:val="none" w:sz="0" w:space="0" w:color="auto"/>
                              </w:divBdr>
                              <w:divsChild>
                                <w:div w:id="1412310805">
                                  <w:marLeft w:val="0"/>
                                  <w:marRight w:val="0"/>
                                  <w:marTop w:val="0"/>
                                  <w:marBottom w:val="225"/>
                                  <w:divBdr>
                                    <w:top w:val="none" w:sz="0" w:space="0" w:color="auto"/>
                                    <w:left w:val="none" w:sz="0" w:space="0" w:color="auto"/>
                                    <w:bottom w:val="none" w:sz="0" w:space="0" w:color="auto"/>
                                    <w:right w:val="none" w:sz="0" w:space="0" w:color="auto"/>
                                  </w:divBdr>
                                  <w:divsChild>
                                    <w:div w:id="549999380">
                                      <w:marLeft w:val="0"/>
                                      <w:marRight w:val="0"/>
                                      <w:marTop w:val="75"/>
                                      <w:marBottom w:val="0"/>
                                      <w:divBdr>
                                        <w:top w:val="none" w:sz="0" w:space="0" w:color="auto"/>
                                        <w:left w:val="none" w:sz="0" w:space="0" w:color="auto"/>
                                        <w:bottom w:val="none" w:sz="0" w:space="0" w:color="auto"/>
                                        <w:right w:val="none" w:sz="0" w:space="0" w:color="auto"/>
                                      </w:divBdr>
                                      <w:divsChild>
                                        <w:div w:id="1647197743">
                                          <w:marLeft w:val="0"/>
                                          <w:marRight w:val="0"/>
                                          <w:marTop w:val="0"/>
                                          <w:marBottom w:val="0"/>
                                          <w:divBdr>
                                            <w:top w:val="none" w:sz="0" w:space="0" w:color="auto"/>
                                            <w:left w:val="none" w:sz="0" w:space="0" w:color="auto"/>
                                            <w:bottom w:val="none" w:sz="0" w:space="0" w:color="auto"/>
                                            <w:right w:val="none" w:sz="0" w:space="0" w:color="auto"/>
                                          </w:divBdr>
                                          <w:divsChild>
                                            <w:div w:id="91436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834581">
      <w:bodyDiv w:val="1"/>
      <w:marLeft w:val="0"/>
      <w:marRight w:val="0"/>
      <w:marTop w:val="0"/>
      <w:marBottom w:val="0"/>
      <w:divBdr>
        <w:top w:val="none" w:sz="0" w:space="0" w:color="auto"/>
        <w:left w:val="none" w:sz="0" w:space="0" w:color="auto"/>
        <w:bottom w:val="none" w:sz="0" w:space="0" w:color="auto"/>
        <w:right w:val="none" w:sz="0" w:space="0" w:color="auto"/>
      </w:divBdr>
    </w:div>
    <w:div w:id="323969281">
      <w:bodyDiv w:val="1"/>
      <w:marLeft w:val="0"/>
      <w:marRight w:val="0"/>
      <w:marTop w:val="0"/>
      <w:marBottom w:val="0"/>
      <w:divBdr>
        <w:top w:val="none" w:sz="0" w:space="0" w:color="auto"/>
        <w:left w:val="none" w:sz="0" w:space="0" w:color="auto"/>
        <w:bottom w:val="none" w:sz="0" w:space="0" w:color="auto"/>
        <w:right w:val="none" w:sz="0" w:space="0" w:color="auto"/>
      </w:divBdr>
      <w:divsChild>
        <w:div w:id="1254894372">
          <w:marLeft w:val="0"/>
          <w:marRight w:val="0"/>
          <w:marTop w:val="0"/>
          <w:marBottom w:val="0"/>
          <w:divBdr>
            <w:top w:val="none" w:sz="0" w:space="0" w:color="auto"/>
            <w:left w:val="none" w:sz="0" w:space="0" w:color="auto"/>
            <w:bottom w:val="none" w:sz="0" w:space="0" w:color="auto"/>
            <w:right w:val="none" w:sz="0" w:space="0" w:color="auto"/>
          </w:divBdr>
          <w:divsChild>
            <w:div w:id="1296645840">
              <w:marLeft w:val="0"/>
              <w:marRight w:val="0"/>
              <w:marTop w:val="0"/>
              <w:marBottom w:val="0"/>
              <w:divBdr>
                <w:top w:val="none" w:sz="0" w:space="0" w:color="auto"/>
                <w:left w:val="none" w:sz="0" w:space="0" w:color="auto"/>
                <w:bottom w:val="none" w:sz="0" w:space="0" w:color="auto"/>
                <w:right w:val="none" w:sz="0" w:space="0" w:color="auto"/>
              </w:divBdr>
              <w:divsChild>
                <w:div w:id="1100638411">
                  <w:marLeft w:val="0"/>
                  <w:marRight w:val="0"/>
                  <w:marTop w:val="0"/>
                  <w:marBottom w:val="0"/>
                  <w:divBdr>
                    <w:top w:val="none" w:sz="0" w:space="0" w:color="auto"/>
                    <w:left w:val="none" w:sz="0" w:space="0" w:color="auto"/>
                    <w:bottom w:val="none" w:sz="0" w:space="0" w:color="auto"/>
                    <w:right w:val="none" w:sz="0" w:space="0" w:color="auto"/>
                  </w:divBdr>
                  <w:divsChild>
                    <w:div w:id="1947541071">
                      <w:marLeft w:val="0"/>
                      <w:marRight w:val="0"/>
                      <w:marTop w:val="0"/>
                      <w:marBottom w:val="0"/>
                      <w:divBdr>
                        <w:top w:val="none" w:sz="0" w:space="0" w:color="auto"/>
                        <w:left w:val="none" w:sz="0" w:space="0" w:color="auto"/>
                        <w:bottom w:val="none" w:sz="0" w:space="0" w:color="auto"/>
                        <w:right w:val="none" w:sz="0" w:space="0" w:color="auto"/>
                      </w:divBdr>
                      <w:divsChild>
                        <w:div w:id="1000888713">
                          <w:marLeft w:val="0"/>
                          <w:marRight w:val="-4320"/>
                          <w:marTop w:val="0"/>
                          <w:marBottom w:val="0"/>
                          <w:divBdr>
                            <w:top w:val="none" w:sz="0" w:space="0" w:color="auto"/>
                            <w:left w:val="none" w:sz="0" w:space="0" w:color="auto"/>
                            <w:bottom w:val="none" w:sz="0" w:space="0" w:color="auto"/>
                            <w:right w:val="single" w:sz="48" w:space="0" w:color="F2F2F2"/>
                          </w:divBdr>
                          <w:divsChild>
                            <w:div w:id="1727559420">
                              <w:marLeft w:val="0"/>
                              <w:marRight w:val="0"/>
                              <w:marTop w:val="0"/>
                              <w:marBottom w:val="0"/>
                              <w:divBdr>
                                <w:top w:val="none" w:sz="0" w:space="0" w:color="auto"/>
                                <w:left w:val="none" w:sz="0" w:space="0" w:color="auto"/>
                                <w:bottom w:val="none" w:sz="0" w:space="0" w:color="auto"/>
                                <w:right w:val="none" w:sz="0" w:space="0" w:color="auto"/>
                              </w:divBdr>
                              <w:divsChild>
                                <w:div w:id="1791195544">
                                  <w:marLeft w:val="0"/>
                                  <w:marRight w:val="0"/>
                                  <w:marTop w:val="0"/>
                                  <w:marBottom w:val="225"/>
                                  <w:divBdr>
                                    <w:top w:val="none" w:sz="0" w:space="0" w:color="auto"/>
                                    <w:left w:val="none" w:sz="0" w:space="0" w:color="auto"/>
                                    <w:bottom w:val="none" w:sz="0" w:space="0" w:color="auto"/>
                                    <w:right w:val="none" w:sz="0" w:space="0" w:color="auto"/>
                                  </w:divBdr>
                                  <w:divsChild>
                                    <w:div w:id="1142230930">
                                      <w:marLeft w:val="0"/>
                                      <w:marRight w:val="0"/>
                                      <w:marTop w:val="0"/>
                                      <w:marBottom w:val="0"/>
                                      <w:divBdr>
                                        <w:top w:val="none" w:sz="0" w:space="0" w:color="auto"/>
                                        <w:left w:val="none" w:sz="0" w:space="0" w:color="auto"/>
                                        <w:bottom w:val="none" w:sz="0" w:space="0" w:color="auto"/>
                                        <w:right w:val="none" w:sz="0" w:space="0" w:color="auto"/>
                                      </w:divBdr>
                                      <w:divsChild>
                                        <w:div w:id="1797217698">
                                          <w:marLeft w:val="0"/>
                                          <w:marRight w:val="0"/>
                                          <w:marTop w:val="75"/>
                                          <w:marBottom w:val="0"/>
                                          <w:divBdr>
                                            <w:top w:val="none" w:sz="0" w:space="0" w:color="auto"/>
                                            <w:left w:val="none" w:sz="0" w:space="0" w:color="auto"/>
                                            <w:bottom w:val="none" w:sz="0" w:space="0" w:color="auto"/>
                                            <w:right w:val="none" w:sz="0" w:space="0" w:color="auto"/>
                                          </w:divBdr>
                                          <w:divsChild>
                                            <w:div w:id="1292861195">
                                              <w:marLeft w:val="0"/>
                                              <w:marRight w:val="0"/>
                                              <w:marTop w:val="0"/>
                                              <w:marBottom w:val="0"/>
                                              <w:divBdr>
                                                <w:top w:val="none" w:sz="0" w:space="0" w:color="auto"/>
                                                <w:left w:val="none" w:sz="0" w:space="0" w:color="auto"/>
                                                <w:bottom w:val="none" w:sz="0" w:space="0" w:color="auto"/>
                                                <w:right w:val="none" w:sz="0" w:space="0" w:color="auto"/>
                                              </w:divBdr>
                                              <w:divsChild>
                                                <w:div w:id="18261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9775039">
      <w:bodyDiv w:val="1"/>
      <w:marLeft w:val="0"/>
      <w:marRight w:val="0"/>
      <w:marTop w:val="0"/>
      <w:marBottom w:val="0"/>
      <w:divBdr>
        <w:top w:val="none" w:sz="0" w:space="0" w:color="auto"/>
        <w:left w:val="none" w:sz="0" w:space="0" w:color="auto"/>
        <w:bottom w:val="none" w:sz="0" w:space="0" w:color="auto"/>
        <w:right w:val="none" w:sz="0" w:space="0" w:color="auto"/>
      </w:divBdr>
    </w:div>
    <w:div w:id="681325482">
      <w:bodyDiv w:val="1"/>
      <w:marLeft w:val="0"/>
      <w:marRight w:val="0"/>
      <w:marTop w:val="0"/>
      <w:marBottom w:val="0"/>
      <w:divBdr>
        <w:top w:val="none" w:sz="0" w:space="0" w:color="auto"/>
        <w:left w:val="none" w:sz="0" w:space="0" w:color="auto"/>
        <w:bottom w:val="none" w:sz="0" w:space="0" w:color="auto"/>
        <w:right w:val="none" w:sz="0" w:space="0" w:color="auto"/>
      </w:divBdr>
      <w:divsChild>
        <w:div w:id="935675069">
          <w:marLeft w:val="0"/>
          <w:marRight w:val="0"/>
          <w:marTop w:val="0"/>
          <w:marBottom w:val="0"/>
          <w:divBdr>
            <w:top w:val="none" w:sz="0" w:space="0" w:color="auto"/>
            <w:left w:val="none" w:sz="0" w:space="0" w:color="auto"/>
            <w:bottom w:val="none" w:sz="0" w:space="0" w:color="auto"/>
            <w:right w:val="none" w:sz="0" w:space="0" w:color="auto"/>
          </w:divBdr>
          <w:divsChild>
            <w:div w:id="781073684">
              <w:marLeft w:val="0"/>
              <w:marRight w:val="0"/>
              <w:marTop w:val="0"/>
              <w:marBottom w:val="0"/>
              <w:divBdr>
                <w:top w:val="none" w:sz="0" w:space="0" w:color="auto"/>
                <w:left w:val="none" w:sz="0" w:space="0" w:color="auto"/>
                <w:bottom w:val="none" w:sz="0" w:space="0" w:color="auto"/>
                <w:right w:val="none" w:sz="0" w:space="0" w:color="auto"/>
              </w:divBdr>
              <w:divsChild>
                <w:div w:id="2074963200">
                  <w:marLeft w:val="0"/>
                  <w:marRight w:val="0"/>
                  <w:marTop w:val="0"/>
                  <w:marBottom w:val="0"/>
                  <w:divBdr>
                    <w:top w:val="none" w:sz="0" w:space="0" w:color="auto"/>
                    <w:left w:val="none" w:sz="0" w:space="0" w:color="auto"/>
                    <w:bottom w:val="none" w:sz="0" w:space="0" w:color="auto"/>
                    <w:right w:val="none" w:sz="0" w:space="0" w:color="auto"/>
                  </w:divBdr>
                  <w:divsChild>
                    <w:div w:id="451168578">
                      <w:marLeft w:val="0"/>
                      <w:marRight w:val="0"/>
                      <w:marTop w:val="0"/>
                      <w:marBottom w:val="0"/>
                      <w:divBdr>
                        <w:top w:val="none" w:sz="0" w:space="0" w:color="auto"/>
                        <w:left w:val="none" w:sz="0" w:space="0" w:color="auto"/>
                        <w:bottom w:val="none" w:sz="0" w:space="0" w:color="auto"/>
                        <w:right w:val="none" w:sz="0" w:space="0" w:color="auto"/>
                      </w:divBdr>
                      <w:divsChild>
                        <w:div w:id="1554468230">
                          <w:marLeft w:val="0"/>
                          <w:marRight w:val="-4320"/>
                          <w:marTop w:val="0"/>
                          <w:marBottom w:val="0"/>
                          <w:divBdr>
                            <w:top w:val="none" w:sz="0" w:space="0" w:color="auto"/>
                            <w:left w:val="none" w:sz="0" w:space="0" w:color="auto"/>
                            <w:bottom w:val="none" w:sz="0" w:space="0" w:color="auto"/>
                            <w:right w:val="single" w:sz="48" w:space="0" w:color="F2F2F2"/>
                          </w:divBdr>
                          <w:divsChild>
                            <w:div w:id="1501309200">
                              <w:marLeft w:val="0"/>
                              <w:marRight w:val="0"/>
                              <w:marTop w:val="0"/>
                              <w:marBottom w:val="0"/>
                              <w:divBdr>
                                <w:top w:val="none" w:sz="0" w:space="0" w:color="auto"/>
                                <w:left w:val="none" w:sz="0" w:space="0" w:color="auto"/>
                                <w:bottom w:val="none" w:sz="0" w:space="0" w:color="auto"/>
                                <w:right w:val="none" w:sz="0" w:space="0" w:color="auto"/>
                              </w:divBdr>
                              <w:divsChild>
                                <w:div w:id="1853956477">
                                  <w:marLeft w:val="0"/>
                                  <w:marRight w:val="0"/>
                                  <w:marTop w:val="0"/>
                                  <w:marBottom w:val="225"/>
                                  <w:divBdr>
                                    <w:top w:val="none" w:sz="0" w:space="0" w:color="auto"/>
                                    <w:left w:val="none" w:sz="0" w:space="0" w:color="auto"/>
                                    <w:bottom w:val="none" w:sz="0" w:space="0" w:color="auto"/>
                                    <w:right w:val="none" w:sz="0" w:space="0" w:color="auto"/>
                                  </w:divBdr>
                                  <w:divsChild>
                                    <w:div w:id="1447310776">
                                      <w:marLeft w:val="0"/>
                                      <w:marRight w:val="0"/>
                                      <w:marTop w:val="0"/>
                                      <w:marBottom w:val="0"/>
                                      <w:divBdr>
                                        <w:top w:val="none" w:sz="0" w:space="0" w:color="auto"/>
                                        <w:left w:val="none" w:sz="0" w:space="0" w:color="auto"/>
                                        <w:bottom w:val="none" w:sz="0" w:space="0" w:color="auto"/>
                                        <w:right w:val="none" w:sz="0" w:space="0" w:color="auto"/>
                                      </w:divBdr>
                                      <w:divsChild>
                                        <w:div w:id="551039916">
                                          <w:marLeft w:val="0"/>
                                          <w:marRight w:val="0"/>
                                          <w:marTop w:val="75"/>
                                          <w:marBottom w:val="0"/>
                                          <w:divBdr>
                                            <w:top w:val="none" w:sz="0" w:space="0" w:color="auto"/>
                                            <w:left w:val="none" w:sz="0" w:space="0" w:color="auto"/>
                                            <w:bottom w:val="none" w:sz="0" w:space="0" w:color="auto"/>
                                            <w:right w:val="none" w:sz="0" w:space="0" w:color="auto"/>
                                          </w:divBdr>
                                          <w:divsChild>
                                            <w:div w:id="386221569">
                                              <w:marLeft w:val="0"/>
                                              <w:marRight w:val="0"/>
                                              <w:marTop w:val="0"/>
                                              <w:marBottom w:val="0"/>
                                              <w:divBdr>
                                                <w:top w:val="none" w:sz="0" w:space="0" w:color="auto"/>
                                                <w:left w:val="none" w:sz="0" w:space="0" w:color="auto"/>
                                                <w:bottom w:val="none" w:sz="0" w:space="0" w:color="auto"/>
                                                <w:right w:val="none" w:sz="0" w:space="0" w:color="auto"/>
                                              </w:divBdr>
                                              <w:divsChild>
                                                <w:div w:id="10976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9065B-0541-4233-8183-48063532F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Margaret Rivello</cp:lastModifiedBy>
  <cp:revision>2</cp:revision>
  <dcterms:created xsi:type="dcterms:W3CDTF">2016-08-24T18:26:00Z</dcterms:created>
  <dcterms:modified xsi:type="dcterms:W3CDTF">2016-08-24T18:26:00Z</dcterms:modified>
</cp:coreProperties>
</file>